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0916F9C">
      <w:pPr>
        <w:autoSpaceDE w:val="0"/>
        <w:autoSpaceDN w:val="0"/>
        <w:adjustRightInd w:val="0"/>
        <w:rPr>
          <w:rFonts w:ascii="仿宋_GB2312" w:hAnsi="黑体" w:eastAsia="仿宋_GB2312"/>
          <w:b/>
          <w:w w:val="90"/>
          <w:kern w:val="0"/>
          <w:sz w:val="52"/>
          <w:szCs w:val="52"/>
          <w:highlight w:val="none"/>
        </w:rPr>
      </w:pPr>
      <w:r>
        <w:rPr>
          <w:rFonts w:hint="eastAsia" w:ascii="仿宋_GB2312" w:hAnsi="黑体" w:eastAsia="仿宋_GB2312"/>
          <w:b/>
          <w:w w:val="90"/>
          <w:kern w:val="0"/>
          <w:sz w:val="52"/>
          <w:szCs w:val="52"/>
          <w:highlight w:val="none"/>
        </w:rPr>
        <w:t xml:space="preserve"> </w:t>
      </w:r>
    </w:p>
    <w:p w14:paraId="751EB3A5">
      <w:pPr>
        <w:autoSpaceDE w:val="0"/>
        <w:autoSpaceDN w:val="0"/>
        <w:adjustRightInd w:val="0"/>
        <w:jc w:val="center"/>
        <w:rPr>
          <w:rFonts w:ascii="仿宋_GB2312" w:hAnsi="宋体" w:eastAsia="仿宋_GB2312"/>
          <w:b/>
          <w:color w:val="000000" w:themeColor="text1"/>
          <w:sz w:val="112"/>
          <w:szCs w:val="112"/>
          <w:highlight w:val="none"/>
          <w14:textFill>
            <w14:solidFill>
              <w14:schemeClr w14:val="tx1"/>
            </w14:solidFill>
          </w14:textFill>
        </w:rPr>
      </w:pPr>
      <w:r>
        <w:rPr>
          <w:rFonts w:hint="eastAsia" w:ascii="仿宋_GB2312" w:hAnsi="宋体" w:eastAsia="仿宋_GB2312"/>
          <w:b/>
          <w:color w:val="000000" w:themeColor="text1"/>
          <w:sz w:val="112"/>
          <w:szCs w:val="112"/>
          <w:highlight w:val="none"/>
          <w14:textFill>
            <w14:solidFill>
              <w14:schemeClr w14:val="tx1"/>
            </w14:solidFill>
          </w14:textFill>
        </w:rPr>
        <w:t>竞争性谈判文件</w:t>
      </w:r>
    </w:p>
    <w:p w14:paraId="6D908A17">
      <w:pPr>
        <w:autoSpaceDE w:val="0"/>
        <w:autoSpaceDN w:val="0"/>
        <w:adjustRightInd w:val="0"/>
        <w:rPr>
          <w:rFonts w:ascii="仿宋_GB2312" w:eastAsia="仿宋_GB2312"/>
          <w:b/>
          <w:color w:val="000000" w:themeColor="text1"/>
          <w:kern w:val="0"/>
          <w:sz w:val="18"/>
          <w:szCs w:val="18"/>
          <w:highlight w:val="none"/>
          <w14:textFill>
            <w14:solidFill>
              <w14:schemeClr w14:val="tx1"/>
            </w14:solidFill>
          </w14:textFill>
        </w:rPr>
      </w:pPr>
    </w:p>
    <w:p w14:paraId="6EA0109C">
      <w:pPr>
        <w:autoSpaceDE w:val="0"/>
        <w:autoSpaceDN w:val="0"/>
        <w:adjustRightInd w:val="0"/>
        <w:rPr>
          <w:rFonts w:ascii="仿宋_GB2312" w:eastAsia="仿宋_GB2312"/>
          <w:b/>
          <w:color w:val="000000" w:themeColor="text1"/>
          <w:kern w:val="0"/>
          <w:sz w:val="18"/>
          <w:szCs w:val="18"/>
          <w:highlight w:val="none"/>
          <w14:textFill>
            <w14:solidFill>
              <w14:schemeClr w14:val="tx1"/>
            </w14:solidFill>
          </w14:textFill>
        </w:rPr>
      </w:pPr>
    </w:p>
    <w:p w14:paraId="4064177B">
      <w:pPr>
        <w:autoSpaceDE w:val="0"/>
        <w:autoSpaceDN w:val="0"/>
        <w:adjustRightInd w:val="0"/>
        <w:rPr>
          <w:rFonts w:ascii="仿宋_GB2312" w:hAnsi="宋体" w:eastAsia="仿宋_GB2312" w:cs="宋体"/>
          <w:b/>
          <w:color w:val="000000" w:themeColor="text1"/>
          <w:kern w:val="0"/>
          <w:sz w:val="18"/>
          <w:szCs w:val="18"/>
          <w:highlight w:val="none"/>
          <w14:textFill>
            <w14:solidFill>
              <w14:schemeClr w14:val="tx1"/>
            </w14:solidFill>
          </w14:textFill>
        </w:rPr>
      </w:pPr>
    </w:p>
    <w:p w14:paraId="4E92ED54">
      <w:pPr>
        <w:ind w:left="2886" w:leftChars="456" w:hanging="1928" w:hangingChars="600"/>
        <w:jc w:val="left"/>
        <w:rPr>
          <w:rFonts w:hint="eastAsia" w:ascii="仿宋_GB2312" w:hAnsi="宋体" w:eastAsia="仿宋_GB2312" w:cs="宋体"/>
          <w:b/>
          <w:bCs/>
          <w:color w:val="000000" w:themeColor="text1"/>
          <w:kern w:val="0"/>
          <w:sz w:val="32"/>
          <w:szCs w:val="32"/>
          <w:highlight w:val="none"/>
          <w:lang w:eastAsia="zh-CN"/>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项 目 名 称 </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w:t>
      </w:r>
      <w:r>
        <w:rPr>
          <w:rFonts w:hint="eastAsia" w:ascii="仿宋_GB2312" w:hAnsi="宋体" w:eastAsia="仿宋_GB2312" w:cs="宋体"/>
          <w:b/>
          <w:color w:val="000000" w:themeColor="text1"/>
          <w:kern w:val="0"/>
          <w:sz w:val="32"/>
          <w:szCs w:val="32"/>
          <w:highlight w:val="none"/>
          <w:lang w:eastAsia="zh-CN"/>
          <w14:textFill>
            <w14:solidFill>
              <w14:schemeClr w14:val="tx1"/>
            </w14:solidFill>
          </w14:textFill>
        </w:rPr>
        <w:t>隆润朗景台项目“建筑工程施工人员团体人身意外伤害保险”服务采购</w:t>
      </w:r>
    </w:p>
    <w:p w14:paraId="3A53FF66">
      <w:pPr>
        <w:pStyle w:val="12"/>
        <w:numPr>
          <w:ilvl w:val="0"/>
          <w:numId w:val="0"/>
        </w:numPr>
        <w:rPr>
          <w:color w:val="000000" w:themeColor="text1"/>
          <w:highlight w:val="none"/>
          <w14:textFill>
            <w14:solidFill>
              <w14:schemeClr w14:val="tx1"/>
            </w14:solidFill>
          </w14:textFill>
        </w:rPr>
      </w:pPr>
    </w:p>
    <w:p w14:paraId="717ECF1D">
      <w:pPr>
        <w:ind w:firstLine="964" w:firstLineChars="300"/>
        <w:rPr>
          <w:rFonts w:ascii="仿宋_GB2312" w:hAnsi="宋体" w:eastAsia="仿宋_GB2312" w:cs="宋体"/>
          <w:b/>
          <w:bCs/>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项 目 编 号 </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w:t>
      </w:r>
      <w:r>
        <w:rPr>
          <w:rFonts w:hint="eastAsia" w:ascii="仿宋_GB2312" w:hAnsi="宋体" w:eastAsia="仿宋_GB2312" w:cs="宋体"/>
          <w:b/>
          <w:bCs/>
          <w:color w:val="000000" w:themeColor="text1"/>
          <w:kern w:val="0"/>
          <w:sz w:val="32"/>
          <w:szCs w:val="32"/>
          <w:highlight w:val="none"/>
          <w:lang w:eastAsia="zh-CN"/>
          <w14:textFill>
            <w14:solidFill>
              <w14:schemeClr w14:val="tx1"/>
            </w14:solidFill>
          </w14:textFill>
        </w:rPr>
        <w:t>LRRT-B-20241002</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 xml:space="preserve">       </w:t>
      </w:r>
    </w:p>
    <w:p w14:paraId="17F8615C">
      <w:pPr>
        <w:ind w:left="3093" w:leftChars="402" w:hanging="2249" w:hangingChars="700"/>
        <w:rPr>
          <w:rFonts w:ascii="仿宋_GB2312" w:hAnsi="宋体" w:eastAsia="仿宋_GB2312" w:cs="宋体"/>
          <w:b/>
          <w:color w:val="000000" w:themeColor="text1"/>
          <w:kern w:val="0"/>
          <w:sz w:val="32"/>
          <w:szCs w:val="32"/>
          <w:highlight w:val="none"/>
          <w14:textFill>
            <w14:solidFill>
              <w14:schemeClr w14:val="tx1"/>
            </w14:solidFill>
          </w14:textFill>
        </w:rPr>
      </w:pPr>
    </w:p>
    <w:p w14:paraId="1523ECA3">
      <w:pPr>
        <w:ind w:firstLine="964" w:firstLineChars="300"/>
        <w:rPr>
          <w:rFonts w:ascii="仿宋_GB2312" w:hAnsi="宋体" w:eastAsia="仿宋_GB2312" w:cs="宋体"/>
          <w:b/>
          <w:color w:val="000000" w:themeColor="text1"/>
          <w:kern w:val="0"/>
          <w:sz w:val="32"/>
          <w:szCs w:val="32"/>
          <w:highlight w:val="none"/>
          <w:u w:val="singl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采   购  人 </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 xml:space="preserve">:隆昌市润泰建设工程有限公司           </w:t>
      </w:r>
    </w:p>
    <w:p w14:paraId="052D5031">
      <w:pPr>
        <w:tabs>
          <w:tab w:val="left" w:pos="4773"/>
        </w:tabs>
        <w:autoSpaceDE w:val="0"/>
        <w:autoSpaceDN w:val="0"/>
        <w:adjustRightInd w:val="0"/>
        <w:ind w:firstLine="803" w:firstLineChars="250"/>
        <w:rPr>
          <w:rFonts w:ascii="仿宋_GB2312" w:hAnsi="宋体" w:eastAsia="仿宋_GB2312" w:cs="宋体"/>
          <w:b/>
          <w:color w:val="000000" w:themeColor="text1"/>
          <w:kern w:val="0"/>
          <w:sz w:val="32"/>
          <w:szCs w:val="32"/>
          <w:highlight w:val="none"/>
          <w14:textFill>
            <w14:solidFill>
              <w14:schemeClr w14:val="tx1"/>
            </w14:solidFill>
          </w14:textFill>
        </w:rPr>
      </w:pPr>
    </w:p>
    <w:p w14:paraId="5549D561">
      <w:pPr>
        <w:tabs>
          <w:tab w:val="left" w:pos="4773"/>
        </w:tabs>
        <w:autoSpaceDE w:val="0"/>
        <w:autoSpaceDN w:val="0"/>
        <w:adjustRightInd w:val="0"/>
        <w:ind w:firstLine="800" w:firstLineChars="250"/>
        <w:rPr>
          <w:rFonts w:ascii="仿宋_GB2312" w:hAnsi="宋体" w:eastAsia="仿宋_GB2312" w:cs="宋体"/>
          <w:color w:val="000000" w:themeColor="text1"/>
          <w:kern w:val="0"/>
          <w:sz w:val="32"/>
          <w:szCs w:val="32"/>
          <w:highlight w:val="none"/>
          <w14:textFill>
            <w14:solidFill>
              <w14:schemeClr w14:val="tx1"/>
            </w14:solidFill>
          </w14:textFill>
        </w:rPr>
      </w:pPr>
    </w:p>
    <w:p w14:paraId="72AC036B">
      <w:pPr>
        <w:autoSpaceDE w:val="0"/>
        <w:autoSpaceDN w:val="0"/>
        <w:adjustRightInd w:val="0"/>
        <w:rPr>
          <w:rFonts w:ascii="仿宋_GB2312" w:hAnsi="宋体" w:eastAsia="仿宋_GB2312" w:cs="宋体"/>
          <w:color w:val="000000" w:themeColor="text1"/>
          <w:kern w:val="0"/>
          <w:sz w:val="18"/>
          <w:szCs w:val="18"/>
          <w:highlight w:val="none"/>
          <w14:textFill>
            <w14:solidFill>
              <w14:schemeClr w14:val="tx1"/>
            </w14:solidFill>
          </w14:textFill>
        </w:rPr>
      </w:pPr>
    </w:p>
    <w:p w14:paraId="081A0A01">
      <w:pPr>
        <w:autoSpaceDE w:val="0"/>
        <w:autoSpaceDN w:val="0"/>
        <w:adjustRightInd w:val="0"/>
        <w:rPr>
          <w:rFonts w:ascii="仿宋_GB2312" w:hAnsi="宋体" w:eastAsia="仿宋_GB2312" w:cs="宋体"/>
          <w:color w:val="000000" w:themeColor="text1"/>
          <w:kern w:val="0"/>
          <w:sz w:val="18"/>
          <w:szCs w:val="18"/>
          <w:highlight w:val="none"/>
          <w14:textFill>
            <w14:solidFill>
              <w14:schemeClr w14:val="tx1"/>
            </w14:solidFill>
          </w14:textFill>
        </w:rPr>
      </w:pPr>
    </w:p>
    <w:p w14:paraId="5DAC424F">
      <w:pPr>
        <w:jc w:val="center"/>
        <w:rPr>
          <w:rFonts w:ascii="仿宋_GB2312" w:hAnsi="宋体" w:eastAsia="仿宋_GB2312" w:cs="宋体"/>
          <w:b/>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四川·内江</w:t>
      </w:r>
    </w:p>
    <w:p w14:paraId="3E148E8F">
      <w:pPr>
        <w:jc w:val="center"/>
        <w:rPr>
          <w:rFonts w:ascii="仿宋_GB2312" w:hAnsi="宋体" w:eastAsia="仿宋_GB2312" w:cs="宋体"/>
          <w:b/>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 隆昌市</w:t>
      </w:r>
      <w:r>
        <w:rPr>
          <w:rFonts w:hint="eastAsia" w:ascii="仿宋_GB2312" w:hAnsi="宋体" w:eastAsia="仿宋_GB2312" w:cs="宋体"/>
          <w:b/>
          <w:bCs/>
          <w:color w:val="000000" w:themeColor="text1"/>
          <w:kern w:val="0"/>
          <w:sz w:val="32"/>
          <w:szCs w:val="32"/>
          <w:highlight w:val="none"/>
          <w14:textFill>
            <w14:solidFill>
              <w14:schemeClr w14:val="tx1"/>
            </w14:solidFill>
          </w14:textFill>
        </w:rPr>
        <w:t>润泰建设工程有限公司</w:t>
      </w:r>
    </w:p>
    <w:p w14:paraId="793F8678">
      <w:pPr>
        <w:jc w:val="center"/>
        <w:rPr>
          <w:rFonts w:ascii="仿宋_GB2312" w:hAnsi="宋体" w:eastAsia="仿宋_GB2312" w:cs="宋体"/>
          <w:b/>
          <w:color w:val="000000" w:themeColor="text1"/>
          <w:kern w:val="0"/>
          <w:sz w:val="32"/>
          <w:szCs w:val="32"/>
          <w:highlight w:val="none"/>
          <w14:textFill>
            <w14:solidFill>
              <w14:schemeClr w14:val="tx1"/>
            </w14:solidFill>
          </w14:textFill>
        </w:rPr>
      </w:pPr>
      <w:r>
        <w:rPr>
          <w:rFonts w:hint="eastAsia" w:ascii="仿宋_GB2312" w:hAnsi="宋体" w:eastAsia="仿宋_GB2312" w:cs="宋体"/>
          <w:b/>
          <w:color w:val="000000" w:themeColor="text1"/>
          <w:kern w:val="0"/>
          <w:sz w:val="32"/>
          <w:szCs w:val="32"/>
          <w:highlight w:val="none"/>
          <w14:textFill>
            <w14:solidFill>
              <w14:schemeClr w14:val="tx1"/>
            </w14:solidFill>
          </w14:textFill>
        </w:rPr>
        <w:t xml:space="preserve"> </w:t>
      </w:r>
      <w:r>
        <w:rPr>
          <w:rFonts w:hint="eastAsia" w:ascii="仿宋_GB2312" w:hAnsi="宋体" w:eastAsia="仿宋_GB2312" w:cs="宋体"/>
          <w:b/>
          <w:color w:val="000000" w:themeColor="text1"/>
          <w:kern w:val="0"/>
          <w:sz w:val="32"/>
          <w:szCs w:val="32"/>
          <w:highlight w:val="none"/>
          <w:lang w:val="en-US" w:eastAsia="zh-CN"/>
          <w14:textFill>
            <w14:solidFill>
              <w14:schemeClr w14:val="tx1"/>
            </w14:solidFill>
          </w14:textFill>
        </w:rPr>
        <w:t>事业发展部</w:t>
      </w:r>
      <w:r>
        <w:rPr>
          <w:rFonts w:hint="eastAsia" w:ascii="仿宋_GB2312" w:hAnsi="宋体" w:eastAsia="仿宋_GB2312" w:cs="宋体"/>
          <w:b/>
          <w:color w:val="000000" w:themeColor="text1"/>
          <w:kern w:val="0"/>
          <w:sz w:val="32"/>
          <w:szCs w:val="32"/>
          <w:highlight w:val="none"/>
          <w14:textFill>
            <w14:solidFill>
              <w14:schemeClr w14:val="tx1"/>
            </w14:solidFill>
          </w14:textFill>
        </w:rPr>
        <w:t>编制</w:t>
      </w:r>
    </w:p>
    <w:p w14:paraId="0D7B5731">
      <w:pPr>
        <w:pStyle w:val="20"/>
        <w:tabs>
          <w:tab w:val="right" w:leader="dot" w:pos="9057"/>
        </w:tabs>
        <w:jc w:val="center"/>
        <w:outlineLvl w:val="0"/>
        <w:rPr>
          <w:rFonts w:ascii="仿宋_GB2312" w:hAnsi="黑体" w:eastAsia="仿宋_GB2312"/>
          <w:color w:val="000000" w:themeColor="text1"/>
          <w:kern w:val="44"/>
          <w:szCs w:val="44"/>
          <w:highlight w:val="none"/>
          <w14:textFill>
            <w14:solidFill>
              <w14:schemeClr w14:val="tx1"/>
            </w14:solidFill>
          </w14:textFill>
        </w:rPr>
      </w:pPr>
      <w:bookmarkStart w:id="0" w:name="_Toc26984"/>
      <w:bookmarkStart w:id="1" w:name="_Toc13281"/>
      <w:bookmarkStart w:id="2" w:name="_Toc20712"/>
      <w:r>
        <w:rPr>
          <w:rFonts w:hint="eastAsia" w:ascii="仿宋_GB2312" w:hAnsi="宋体" w:eastAsia="仿宋_GB2312" w:cs="宋体"/>
          <w:b/>
          <w:color w:val="000000" w:themeColor="text1"/>
          <w:kern w:val="0"/>
          <w:sz w:val="32"/>
          <w:szCs w:val="32"/>
          <w:highlight w:val="none"/>
          <w14:textFill>
            <w14:solidFill>
              <w14:schemeClr w14:val="tx1"/>
            </w14:solidFill>
          </w14:textFill>
        </w:rPr>
        <w:t>202</w:t>
      </w:r>
      <w:r>
        <w:rPr>
          <w:rFonts w:hint="eastAsia" w:ascii="仿宋_GB2312" w:hAnsi="宋体" w:eastAsia="仿宋_GB2312" w:cs="宋体"/>
          <w:b/>
          <w:color w:val="000000" w:themeColor="text1"/>
          <w:kern w:val="0"/>
          <w:sz w:val="32"/>
          <w:szCs w:val="32"/>
          <w:highlight w:val="none"/>
          <w:lang w:val="en-US" w:eastAsia="zh-CN"/>
          <w14:textFill>
            <w14:solidFill>
              <w14:schemeClr w14:val="tx1"/>
            </w14:solidFill>
          </w14:textFill>
        </w:rPr>
        <w:t>4</w:t>
      </w:r>
      <w:r>
        <w:rPr>
          <w:rFonts w:hint="eastAsia" w:ascii="仿宋_GB2312" w:hAnsi="宋体" w:eastAsia="仿宋_GB2312" w:cs="宋体"/>
          <w:b/>
          <w:color w:val="000000" w:themeColor="text1"/>
          <w:kern w:val="0"/>
          <w:sz w:val="32"/>
          <w:szCs w:val="32"/>
          <w:highlight w:val="none"/>
          <w14:textFill>
            <w14:solidFill>
              <w14:schemeClr w14:val="tx1"/>
            </w14:solidFill>
          </w14:textFill>
        </w:rPr>
        <w:t>年</w:t>
      </w:r>
      <w:r>
        <w:rPr>
          <w:rFonts w:hint="eastAsia" w:ascii="仿宋_GB2312" w:hAnsi="宋体" w:eastAsia="仿宋_GB2312" w:cs="宋体"/>
          <w:b/>
          <w:color w:val="000000" w:themeColor="text1"/>
          <w:kern w:val="0"/>
          <w:sz w:val="32"/>
          <w:szCs w:val="32"/>
          <w:highlight w:val="none"/>
          <w:lang w:val="en-US" w:eastAsia="zh-CN"/>
          <w14:textFill>
            <w14:solidFill>
              <w14:schemeClr w14:val="tx1"/>
            </w14:solidFill>
          </w14:textFill>
        </w:rPr>
        <w:t>10</w:t>
      </w:r>
      <w:r>
        <w:rPr>
          <w:rFonts w:hint="eastAsia" w:ascii="仿宋_GB2312" w:hAnsi="宋体" w:eastAsia="仿宋_GB2312" w:cs="宋体"/>
          <w:b/>
          <w:color w:val="000000" w:themeColor="text1"/>
          <w:kern w:val="0"/>
          <w:sz w:val="32"/>
          <w:szCs w:val="32"/>
          <w:highlight w:val="none"/>
          <w14:textFill>
            <w14:solidFill>
              <w14:schemeClr w14:val="tx1"/>
            </w14:solidFill>
          </w14:textFill>
        </w:rPr>
        <w:t>月</w:t>
      </w:r>
      <w:r>
        <w:rPr>
          <w:rFonts w:hint="eastAsia" w:ascii="仿宋_GB2312" w:hAnsi="宋体" w:eastAsia="仿宋_GB2312" w:cs="宋体"/>
          <w:b/>
          <w:color w:val="000000" w:themeColor="text1"/>
          <w:kern w:val="0"/>
          <w:sz w:val="32"/>
          <w:szCs w:val="32"/>
          <w:highlight w:val="none"/>
          <w14:textFill>
            <w14:solidFill>
              <w14:schemeClr w14:val="tx1"/>
            </w14:solidFill>
          </w14:textFill>
        </w:rPr>
        <w:br w:type="page"/>
      </w:r>
      <w:bookmarkEnd w:id="0"/>
      <w:bookmarkEnd w:id="1"/>
      <w:bookmarkEnd w:id="2"/>
      <w:bookmarkStart w:id="3" w:name="_Toc491847640"/>
      <w:bookmarkStart w:id="4" w:name="_Toc239822595"/>
      <w:bookmarkStart w:id="5" w:name="_Toc239822480"/>
    </w:p>
    <w:p w14:paraId="5DBE8BCE">
      <w:pPr>
        <w:rPr>
          <w:rFonts w:ascii="仿宋_GB2312" w:hAnsi="黑体" w:eastAsia="仿宋_GB2312"/>
          <w:bCs/>
          <w:color w:val="000000" w:themeColor="text1"/>
          <w:kern w:val="44"/>
          <w:szCs w:val="44"/>
          <w:highlight w:val="none"/>
          <w14:textFill>
            <w14:solidFill>
              <w14:schemeClr w14:val="tx1"/>
            </w14:solidFill>
          </w14:textFill>
        </w:rPr>
      </w:pPr>
    </w:p>
    <w:p w14:paraId="46D72457">
      <w:pPr>
        <w:autoSpaceDE w:val="0"/>
        <w:autoSpaceDN w:val="0"/>
        <w:adjustRightInd w:val="0"/>
        <w:jc w:val="center"/>
        <w:rPr>
          <w:rFonts w:ascii="仿宋_GB2312" w:hAnsi="宋体" w:eastAsia="仿宋_GB2312" w:cs="宋体"/>
          <w:color w:val="000000" w:themeColor="text1"/>
          <w:kern w:val="0"/>
          <w:sz w:val="32"/>
          <w:szCs w:val="32"/>
          <w:highlight w:val="none"/>
          <w14:textFill>
            <w14:solidFill>
              <w14:schemeClr w14:val="tx1"/>
            </w14:solidFill>
          </w14:textFill>
        </w:rPr>
      </w:pPr>
      <w:r>
        <w:rPr>
          <w:rFonts w:hint="eastAsia" w:ascii="仿宋_GB2312" w:hAnsi="楷体_GB2312" w:eastAsia="仿宋_GB2312" w:cs="楷体_GB2312"/>
          <w:b/>
          <w:color w:val="000000" w:themeColor="text1"/>
          <w:kern w:val="0"/>
          <w:sz w:val="36"/>
          <w:szCs w:val="36"/>
          <w:highlight w:val="none"/>
          <w14:textFill>
            <w14:solidFill>
              <w14:schemeClr w14:val="tx1"/>
            </w14:solidFill>
          </w14:textFill>
        </w:rPr>
        <w:t>目  录</w:t>
      </w:r>
    </w:p>
    <w:p w14:paraId="712F8508">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第一部分 谈判邀请函</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3</w:t>
      </w:r>
    </w:p>
    <w:p w14:paraId="6966D817">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第二部分 竞争性谈判须知</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5</w:t>
      </w:r>
    </w:p>
    <w:p w14:paraId="1CCDEBD1">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color w:val="000000" w:themeColor="text1"/>
          <w:szCs w:val="32"/>
          <w:highlight w:val="none"/>
          <w14:textFill>
            <w14:solidFill>
              <w14:schemeClr w14:val="tx1"/>
            </w14:solidFill>
          </w14:textFill>
        </w:rPr>
        <w:t>第三部分 响应文件格式</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7</w:t>
      </w:r>
    </w:p>
    <w:p w14:paraId="4303500A">
      <w:pPr>
        <w:pStyle w:val="23"/>
        <w:tabs>
          <w:tab w:val="right" w:leader="dot" w:pos="9057"/>
        </w:tabs>
        <w:rPr>
          <w:color w:val="000000" w:themeColor="text1"/>
          <w14:textFill>
            <w14:solidFill>
              <w14:schemeClr w14:val="tx1"/>
            </w14:solidFill>
          </w14:textFill>
        </w:rPr>
      </w:pPr>
      <w:r>
        <w:rPr>
          <w:rFonts w:hint="eastAsia" w:ascii="仿宋_GB2312" w:hAnsi="仿宋_GB2312" w:eastAsia="仿宋_GB2312" w:cs="仿宋_GB2312"/>
          <w:color w:val="000000" w:themeColor="text1"/>
          <w:szCs w:val="28"/>
          <w:highlight w:val="none"/>
          <w14:textFill>
            <w14:solidFill>
              <w14:schemeClr w14:val="tx1"/>
            </w14:solidFill>
          </w14:textFill>
        </w:rPr>
        <w:t>一、承诺函</w:t>
      </w:r>
      <w:r>
        <w:rPr>
          <w:color w:val="000000" w:themeColor="text1"/>
          <w14:textFill>
            <w14:solidFill>
              <w14:schemeClr w14:val="tx1"/>
            </w14:solidFill>
          </w14:textFill>
        </w:rPr>
        <w:tab/>
      </w:r>
      <w:r>
        <w:rPr>
          <w:color w:val="000000" w:themeColor="text1"/>
          <w14:textFill>
            <w14:solidFill>
              <w14:schemeClr w14:val="tx1"/>
            </w14:solidFill>
          </w14:textFill>
        </w:rPr>
        <w:t>8</w:t>
      </w:r>
    </w:p>
    <w:p w14:paraId="6FF1B7FB">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val="0"/>
          <w:color w:val="000000" w:themeColor="text1"/>
          <w:kern w:val="2"/>
          <w:szCs w:val="28"/>
          <w:highlight w:val="none"/>
          <w14:textFill>
            <w14:solidFill>
              <w14:schemeClr w14:val="tx1"/>
            </w14:solidFill>
          </w14:textFill>
        </w:rPr>
        <w:t>二、营业执照复印件</w:t>
      </w:r>
      <w:r>
        <w:rPr>
          <w:color w:val="000000" w:themeColor="text1"/>
          <w14:textFill>
            <w14:solidFill>
              <w14:schemeClr w14:val="tx1"/>
            </w14:solidFill>
          </w14:textFill>
        </w:rPr>
        <w:tab/>
      </w:r>
      <w:r>
        <w:rPr>
          <w:rFonts w:hint="eastAsia"/>
          <w:color w:val="000000" w:themeColor="text1"/>
          <w:lang w:val="en-US" w:eastAsia="zh-CN"/>
          <w14:textFill>
            <w14:solidFill>
              <w14:schemeClr w14:val="tx1"/>
            </w14:solidFill>
          </w14:textFill>
        </w:rPr>
        <w:t>9</w:t>
      </w:r>
    </w:p>
    <w:p w14:paraId="485B8535">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val="0"/>
          <w:color w:val="000000" w:themeColor="text1"/>
          <w:kern w:val="2"/>
          <w:szCs w:val="28"/>
          <w:highlight w:val="none"/>
          <w:lang w:val="en-US" w:eastAsia="zh-CN" w:bidi="ar-SA"/>
          <w14:textFill>
            <w14:solidFill>
              <w14:schemeClr w14:val="tx1"/>
            </w14:solidFill>
          </w14:textFill>
        </w:rPr>
        <w:t>三、资质证明材料</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p>
    <w:p w14:paraId="0F39039A">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四</w:t>
      </w:r>
      <w:r>
        <w:rPr>
          <w:rFonts w:hint="eastAsia" w:ascii="仿宋_GB2312" w:hAnsi="仿宋_GB2312" w:eastAsia="仿宋_GB2312" w:cs="仿宋_GB2312"/>
          <w:color w:val="000000" w:themeColor="text1"/>
          <w:szCs w:val="28"/>
          <w:highlight w:val="none"/>
          <w14:textFill>
            <w14:solidFill>
              <w14:schemeClr w14:val="tx1"/>
            </w14:solidFill>
          </w14:textFill>
        </w:rPr>
        <w:t>、法定代表人授权书</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1</w:t>
      </w:r>
    </w:p>
    <w:p w14:paraId="15CA9D65">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五</w:t>
      </w:r>
      <w:r>
        <w:rPr>
          <w:rFonts w:hint="eastAsia" w:ascii="仿宋_GB2312" w:hAnsi="仿宋_GB2312" w:eastAsia="仿宋_GB2312" w:cs="仿宋_GB2312"/>
          <w:color w:val="000000" w:themeColor="text1"/>
          <w:szCs w:val="28"/>
          <w:highlight w:val="none"/>
          <w14:textFill>
            <w14:solidFill>
              <w14:schemeClr w14:val="tx1"/>
            </w14:solidFill>
          </w14:textFill>
        </w:rPr>
        <w:t>、报价表</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2</w:t>
      </w:r>
    </w:p>
    <w:p w14:paraId="74112ACF">
      <w:pPr>
        <w:pStyle w:val="23"/>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六</w:t>
      </w:r>
      <w:r>
        <w:rPr>
          <w:rFonts w:hint="eastAsia" w:ascii="仿宋_GB2312" w:hAnsi="仿宋_GB2312" w:eastAsia="仿宋_GB2312" w:cs="仿宋_GB2312"/>
          <w:color w:val="000000" w:themeColor="text1"/>
          <w:szCs w:val="28"/>
          <w:highlight w:val="none"/>
          <w14:textFill>
            <w14:solidFill>
              <w14:schemeClr w14:val="tx1"/>
            </w14:solidFill>
          </w14:textFill>
        </w:rPr>
        <w:t>、技术、商务应答表</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3</w:t>
      </w:r>
    </w:p>
    <w:p w14:paraId="5F198427">
      <w:pPr>
        <w:pStyle w:val="20"/>
        <w:tabs>
          <w:tab w:val="right" w:leader="dot" w:pos="9057"/>
        </w:tabs>
        <w:ind w:firstLine="420" w:firstLineChars="200"/>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28"/>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szCs w:val="28"/>
          <w:highlight w:val="none"/>
          <w14:textFill>
            <w14:solidFill>
              <w14:schemeClr w14:val="tx1"/>
            </w14:solidFill>
          </w14:textFill>
        </w:rPr>
        <w:t>、最后报价表</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4</w:t>
      </w:r>
    </w:p>
    <w:p w14:paraId="1BE95145">
      <w:pPr>
        <w:pStyle w:val="23"/>
        <w:tabs>
          <w:tab w:val="right" w:leader="dot" w:pos="9057"/>
        </w:tabs>
        <w:ind w:left="0" w:leftChars="0" w:firstLine="0" w:firstLineChars="0"/>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bCs/>
          <w:color w:val="000000" w:themeColor="text1"/>
          <w:kern w:val="0"/>
          <w:szCs w:val="32"/>
          <w:highlight w:val="none"/>
          <w:lang w:val="en-US" w:eastAsia="zh-CN" w:bidi="ar-SA"/>
          <w14:textFill>
            <w14:solidFill>
              <w14:schemeClr w14:val="tx1"/>
            </w14:solidFill>
          </w14:textFill>
        </w:rPr>
        <w:t>第四部分 采购项目服务、技术、商务要求</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5</w:t>
      </w:r>
    </w:p>
    <w:p w14:paraId="2502490F">
      <w:pPr>
        <w:pStyle w:val="23"/>
        <w:tabs>
          <w:tab w:val="right" w:leader="dot" w:pos="9057"/>
        </w:tabs>
        <w:ind w:left="0" w:leftChars="0" w:firstLine="0" w:firstLineChars="0"/>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第五部分 竞争性谈判评审程序和成交标准</w:t>
      </w:r>
      <w:r>
        <w:rPr>
          <w:color w:val="000000" w:themeColor="text1"/>
          <w14:textFill>
            <w14:solidFill>
              <w14:schemeClr w14:val="tx1"/>
            </w14:solidFill>
          </w14:textFill>
        </w:rPr>
        <w:tab/>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6</w:t>
      </w:r>
    </w:p>
    <w:p w14:paraId="1B681786">
      <w:pPr>
        <w:pStyle w:val="20"/>
        <w:tabs>
          <w:tab w:val="right" w:leader="dot" w:pos="9057"/>
        </w:tabs>
        <w:rPr>
          <w:rFonts w:hint="eastAsia" w:eastAsia="宋体"/>
          <w:color w:val="000000" w:themeColor="text1"/>
          <w:lang w:val="en-US" w:eastAsia="zh-CN"/>
          <w14:textFill>
            <w14:solidFill>
              <w14:schemeClr w14:val="tx1"/>
            </w14:solidFill>
          </w14:textFill>
        </w:rPr>
      </w:pPr>
      <w:r>
        <w:rPr>
          <w:rFonts w:hint="eastAsia" w:ascii="仿宋_GB2312" w:hAnsi="仿宋_GB2312" w:eastAsia="仿宋_GB2312" w:cs="仿宋_GB2312"/>
          <w:color w:val="000000" w:themeColor="text1"/>
          <w:szCs w:val="32"/>
          <w:highlight w:val="none"/>
          <w14:textFill>
            <w14:solidFill>
              <w14:schemeClr w14:val="tx1"/>
            </w14:solidFill>
          </w14:textFill>
        </w:rPr>
        <w:t>第六部分 采购合同</w:t>
      </w:r>
      <w:r>
        <w:rPr>
          <w:color w:val="000000" w:themeColor="text1"/>
          <w14:textFill>
            <w14:solidFill>
              <w14:schemeClr w14:val="tx1"/>
            </w14:solidFill>
          </w14:textFill>
        </w:rPr>
        <w:tab/>
      </w:r>
      <w:r>
        <w:rPr>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0</w:t>
      </w:r>
    </w:p>
    <w:p w14:paraId="1E9D470D">
      <w:pPr>
        <w:rPr>
          <w:rFonts w:ascii="仿宋_GB2312" w:hAnsi="黑体" w:eastAsia="仿宋_GB2312"/>
          <w:bCs/>
          <w:color w:val="000000" w:themeColor="text1"/>
          <w:kern w:val="44"/>
          <w:szCs w:val="44"/>
          <w:highlight w:val="none"/>
          <w14:textFill>
            <w14:solidFill>
              <w14:schemeClr w14:val="tx1"/>
            </w14:solidFill>
          </w14:textFill>
        </w:rPr>
      </w:pPr>
    </w:p>
    <w:p w14:paraId="74C554E3">
      <w:pPr>
        <w:rPr>
          <w:rFonts w:ascii="仿宋_GB2312" w:hAnsi="黑体" w:eastAsia="仿宋_GB2312"/>
          <w:bCs/>
          <w:color w:val="000000" w:themeColor="text1"/>
          <w:kern w:val="44"/>
          <w:szCs w:val="44"/>
          <w:highlight w:val="none"/>
          <w14:textFill>
            <w14:solidFill>
              <w14:schemeClr w14:val="tx1"/>
            </w14:solidFill>
          </w14:textFill>
        </w:rPr>
      </w:pPr>
    </w:p>
    <w:p w14:paraId="496875D1">
      <w:pPr>
        <w:rPr>
          <w:rFonts w:ascii="仿宋_GB2312" w:hAnsi="黑体" w:eastAsia="仿宋_GB2312"/>
          <w:bCs/>
          <w:color w:val="000000" w:themeColor="text1"/>
          <w:kern w:val="44"/>
          <w:szCs w:val="44"/>
          <w:highlight w:val="none"/>
          <w14:textFill>
            <w14:solidFill>
              <w14:schemeClr w14:val="tx1"/>
            </w14:solidFill>
          </w14:textFill>
        </w:rPr>
      </w:pPr>
    </w:p>
    <w:p w14:paraId="4CAF7064">
      <w:pPr>
        <w:rPr>
          <w:rFonts w:ascii="仿宋_GB2312" w:hAnsi="黑体" w:eastAsia="仿宋_GB2312"/>
          <w:bCs/>
          <w:color w:val="000000" w:themeColor="text1"/>
          <w:kern w:val="44"/>
          <w:szCs w:val="44"/>
          <w:highlight w:val="none"/>
          <w14:textFill>
            <w14:solidFill>
              <w14:schemeClr w14:val="tx1"/>
            </w14:solidFill>
          </w14:textFill>
        </w:rPr>
      </w:pPr>
    </w:p>
    <w:p w14:paraId="211B91E8">
      <w:pPr>
        <w:rPr>
          <w:rFonts w:ascii="仿宋_GB2312" w:hAnsi="黑体" w:eastAsia="仿宋_GB2312"/>
          <w:bCs/>
          <w:color w:val="000000" w:themeColor="text1"/>
          <w:kern w:val="44"/>
          <w:szCs w:val="44"/>
          <w:highlight w:val="none"/>
          <w14:textFill>
            <w14:solidFill>
              <w14:schemeClr w14:val="tx1"/>
            </w14:solidFill>
          </w14:textFill>
        </w:rPr>
      </w:pPr>
    </w:p>
    <w:p w14:paraId="56EDB6C6">
      <w:pPr>
        <w:rPr>
          <w:rFonts w:ascii="仿宋_GB2312" w:hAnsi="黑体" w:eastAsia="仿宋_GB2312"/>
          <w:bCs/>
          <w:color w:val="000000" w:themeColor="text1"/>
          <w:kern w:val="44"/>
          <w:szCs w:val="44"/>
          <w:highlight w:val="none"/>
          <w14:textFill>
            <w14:solidFill>
              <w14:schemeClr w14:val="tx1"/>
            </w14:solidFill>
          </w14:textFill>
        </w:rPr>
      </w:pPr>
    </w:p>
    <w:p w14:paraId="16287FE9">
      <w:pPr>
        <w:rPr>
          <w:rFonts w:ascii="仿宋_GB2312" w:hAnsi="黑体" w:eastAsia="仿宋_GB2312"/>
          <w:bCs/>
          <w:color w:val="000000" w:themeColor="text1"/>
          <w:kern w:val="44"/>
          <w:szCs w:val="44"/>
          <w:highlight w:val="none"/>
          <w14:textFill>
            <w14:solidFill>
              <w14:schemeClr w14:val="tx1"/>
            </w14:solidFill>
          </w14:textFill>
        </w:rPr>
      </w:pPr>
    </w:p>
    <w:p w14:paraId="4F22F5F9">
      <w:pPr>
        <w:rPr>
          <w:rFonts w:ascii="仿宋_GB2312" w:hAnsi="黑体" w:eastAsia="仿宋_GB2312"/>
          <w:bCs/>
          <w:color w:val="000000" w:themeColor="text1"/>
          <w:kern w:val="44"/>
          <w:szCs w:val="44"/>
          <w:highlight w:val="none"/>
          <w14:textFill>
            <w14:solidFill>
              <w14:schemeClr w14:val="tx1"/>
            </w14:solidFill>
          </w14:textFill>
        </w:rPr>
      </w:pPr>
    </w:p>
    <w:p w14:paraId="05418652">
      <w:pPr>
        <w:rPr>
          <w:rFonts w:ascii="仿宋_GB2312" w:hAnsi="黑体" w:eastAsia="仿宋_GB2312"/>
          <w:bCs/>
          <w:color w:val="000000" w:themeColor="text1"/>
          <w:kern w:val="44"/>
          <w:szCs w:val="44"/>
          <w:highlight w:val="none"/>
          <w14:textFill>
            <w14:solidFill>
              <w14:schemeClr w14:val="tx1"/>
            </w14:solidFill>
          </w14:textFill>
        </w:rPr>
      </w:pPr>
    </w:p>
    <w:p w14:paraId="0FF66AAC">
      <w:pPr>
        <w:rPr>
          <w:rFonts w:ascii="仿宋_GB2312" w:hAnsi="黑体" w:eastAsia="仿宋_GB2312"/>
          <w:bCs/>
          <w:color w:val="000000" w:themeColor="text1"/>
          <w:kern w:val="44"/>
          <w:szCs w:val="44"/>
          <w:highlight w:val="none"/>
          <w14:textFill>
            <w14:solidFill>
              <w14:schemeClr w14:val="tx1"/>
            </w14:solidFill>
          </w14:textFill>
        </w:rPr>
      </w:pPr>
    </w:p>
    <w:p w14:paraId="2DD76849">
      <w:pPr>
        <w:rPr>
          <w:rFonts w:ascii="仿宋_GB2312" w:hAnsi="黑体" w:eastAsia="仿宋_GB2312"/>
          <w:bCs/>
          <w:color w:val="000000" w:themeColor="text1"/>
          <w:kern w:val="44"/>
          <w:szCs w:val="44"/>
          <w:highlight w:val="none"/>
          <w14:textFill>
            <w14:solidFill>
              <w14:schemeClr w14:val="tx1"/>
            </w14:solidFill>
          </w14:textFill>
        </w:rPr>
      </w:pPr>
    </w:p>
    <w:p w14:paraId="2C63621E">
      <w:pPr>
        <w:rPr>
          <w:rFonts w:ascii="仿宋_GB2312" w:hAnsi="黑体" w:eastAsia="仿宋_GB2312"/>
          <w:bCs/>
          <w:color w:val="000000" w:themeColor="text1"/>
          <w:kern w:val="44"/>
          <w:szCs w:val="44"/>
          <w:highlight w:val="none"/>
          <w14:textFill>
            <w14:solidFill>
              <w14:schemeClr w14:val="tx1"/>
            </w14:solidFill>
          </w14:textFill>
        </w:rPr>
      </w:pPr>
    </w:p>
    <w:p w14:paraId="0A15BD03">
      <w:pPr>
        <w:rPr>
          <w:rFonts w:ascii="仿宋_GB2312" w:hAnsi="黑体" w:eastAsia="仿宋_GB2312"/>
          <w:bCs/>
          <w:color w:val="000000" w:themeColor="text1"/>
          <w:kern w:val="44"/>
          <w:szCs w:val="44"/>
          <w:highlight w:val="none"/>
          <w14:textFill>
            <w14:solidFill>
              <w14:schemeClr w14:val="tx1"/>
            </w14:solidFill>
          </w14:textFill>
        </w:rPr>
      </w:pPr>
    </w:p>
    <w:p w14:paraId="0924845A">
      <w:pPr>
        <w:rPr>
          <w:rFonts w:ascii="仿宋_GB2312" w:hAnsi="黑体" w:eastAsia="仿宋_GB2312"/>
          <w:bCs/>
          <w:color w:val="000000" w:themeColor="text1"/>
          <w:kern w:val="44"/>
          <w:szCs w:val="44"/>
          <w:highlight w:val="none"/>
          <w14:textFill>
            <w14:solidFill>
              <w14:schemeClr w14:val="tx1"/>
            </w14:solidFill>
          </w14:textFill>
        </w:rPr>
      </w:pPr>
    </w:p>
    <w:p w14:paraId="1C1AC0DA">
      <w:pPr>
        <w:rPr>
          <w:rFonts w:ascii="仿宋_GB2312" w:hAnsi="黑体" w:eastAsia="仿宋_GB2312"/>
          <w:bCs/>
          <w:color w:val="000000" w:themeColor="text1"/>
          <w:kern w:val="44"/>
          <w:szCs w:val="44"/>
          <w:highlight w:val="none"/>
          <w14:textFill>
            <w14:solidFill>
              <w14:schemeClr w14:val="tx1"/>
            </w14:solidFill>
          </w14:textFill>
        </w:rPr>
      </w:pPr>
    </w:p>
    <w:p w14:paraId="4682FE44">
      <w:pPr>
        <w:rPr>
          <w:rFonts w:ascii="仿宋_GB2312" w:hAnsi="黑体" w:eastAsia="仿宋_GB2312"/>
          <w:bCs/>
          <w:color w:val="000000" w:themeColor="text1"/>
          <w:kern w:val="44"/>
          <w:szCs w:val="44"/>
          <w:highlight w:val="none"/>
          <w14:textFill>
            <w14:solidFill>
              <w14:schemeClr w14:val="tx1"/>
            </w14:solidFill>
          </w14:textFill>
        </w:rPr>
      </w:pPr>
    </w:p>
    <w:p w14:paraId="4BB23D75">
      <w:pPr>
        <w:rPr>
          <w:rFonts w:ascii="仿宋_GB2312" w:hAnsi="黑体" w:eastAsia="仿宋_GB2312"/>
          <w:bCs/>
          <w:color w:val="000000" w:themeColor="text1"/>
          <w:kern w:val="44"/>
          <w:szCs w:val="44"/>
          <w:highlight w:val="none"/>
          <w14:textFill>
            <w14:solidFill>
              <w14:schemeClr w14:val="tx1"/>
            </w14:solidFill>
          </w14:textFill>
        </w:rPr>
      </w:pPr>
    </w:p>
    <w:p w14:paraId="6D6BADE1">
      <w:pPr>
        <w:pStyle w:val="20"/>
        <w:tabs>
          <w:tab w:val="right" w:leader="dot" w:pos="9057"/>
        </w:tabs>
        <w:jc w:val="center"/>
        <w:outlineLvl w:val="0"/>
        <w:rPr>
          <w:rFonts w:ascii="仿宋_GB2312" w:hAnsi="仿宋_GB2312" w:eastAsia="仿宋_GB2312" w:cs="仿宋_GB2312"/>
          <w:color w:val="000000" w:themeColor="text1"/>
          <w:sz w:val="32"/>
          <w:szCs w:val="32"/>
          <w:highlight w:val="none"/>
          <w14:textFill>
            <w14:solidFill>
              <w14:schemeClr w14:val="tx1"/>
            </w14:solidFill>
          </w14:textFill>
        </w:rPr>
      </w:pPr>
      <w:bookmarkStart w:id="6" w:name="_Toc5093"/>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br w:type="page"/>
      </w:r>
      <w:bookmarkStart w:id="7" w:name="_Toc18779"/>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t>第一部分 谈判邀请函</w:t>
      </w:r>
      <w:bookmarkEnd w:id="3"/>
      <w:bookmarkEnd w:id="4"/>
      <w:bookmarkEnd w:id="5"/>
      <w:bookmarkEnd w:id="6"/>
      <w:bookmarkEnd w:id="7"/>
    </w:p>
    <w:p w14:paraId="3F655CD3">
      <w:pPr>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u w:val="single"/>
          <w14:textFill>
            <w14:solidFill>
              <w14:schemeClr w14:val="tx1"/>
            </w14:solidFill>
          </w14:textFill>
        </w:rPr>
        <w:t>隆昌市润泰建设工程有限公司</w:t>
      </w:r>
      <w:r>
        <w:rPr>
          <w:rFonts w:hint="eastAsia" w:ascii="仿宋_GB2312" w:hAnsi="仿宋_GB2312" w:eastAsia="仿宋_GB2312" w:cs="仿宋_GB2312"/>
          <w:color w:val="000000" w:themeColor="text1"/>
          <w:kern w:val="0"/>
          <w:sz w:val="24"/>
          <w:highlight w:val="none"/>
          <w14:textFill>
            <w14:solidFill>
              <w14:schemeClr w14:val="tx1"/>
            </w14:solidFill>
          </w14:textFill>
        </w:rPr>
        <w:t>（采购人），拟对</w:t>
      </w:r>
      <w:r>
        <w:rPr>
          <w:rFonts w:hint="eastAsia" w:ascii="仿宋_GB2312" w:hAnsi="仿宋_GB2312" w:eastAsia="仿宋_GB2312" w:cs="仿宋_GB2312"/>
          <w:color w:val="000000" w:themeColor="text1"/>
          <w:kern w:val="0"/>
          <w:sz w:val="24"/>
          <w:highlight w:val="none"/>
          <w:u w:val="single"/>
          <w:lang w:eastAsia="zh-CN"/>
          <w14:textFill>
            <w14:solidFill>
              <w14:schemeClr w14:val="tx1"/>
            </w14:solidFill>
          </w14:textFill>
        </w:rPr>
        <w:t>隆润朗景台项目“建筑工程施工人员团体人身意外伤害保险”服务采购</w:t>
      </w:r>
      <w:r>
        <w:rPr>
          <w:rFonts w:hint="eastAsia" w:ascii="仿宋_GB2312" w:hAnsi="仿宋_GB2312" w:eastAsia="仿宋_GB2312" w:cs="仿宋_GB2312"/>
          <w:color w:val="000000" w:themeColor="text1"/>
          <w:kern w:val="0"/>
          <w:sz w:val="24"/>
          <w:highlight w:val="none"/>
          <w14:textFill>
            <w14:solidFill>
              <w14:schemeClr w14:val="tx1"/>
            </w14:solidFill>
          </w14:textFill>
        </w:rPr>
        <w:t>采用竞争性谈判方式进行采购。兹邀请符合本次采购要求的供应商参加谈判。</w:t>
      </w:r>
    </w:p>
    <w:p w14:paraId="102F9128">
      <w:pPr>
        <w:numPr>
          <w:ilvl w:val="0"/>
          <w:numId w:val="2"/>
        </w:numPr>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采购项目名称：</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隆润朗景台项目“建筑工程施工人员团体人身意外伤害保险”服务采购</w:t>
      </w:r>
    </w:p>
    <w:p w14:paraId="5A524740">
      <w:pPr>
        <w:numPr>
          <w:ilvl w:val="0"/>
          <w:numId w:val="2"/>
        </w:numPr>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采购项目编号：</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 xml:space="preserve">LRRT-B-20241002    </w:t>
      </w:r>
    </w:p>
    <w:p w14:paraId="12356E1D">
      <w:pPr>
        <w:rPr>
          <w:rFonts w:ascii="仿宋_GB2312" w:hAnsi="仿宋_GB2312" w:eastAsia="仿宋_GB2312" w:cs="仿宋_GB2312"/>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三、采购项目简介</w:t>
      </w:r>
      <w:r>
        <w:rPr>
          <w:rFonts w:hint="eastAsia" w:ascii="仿宋_GB2312" w:hAnsi="仿宋_GB2312" w:eastAsia="仿宋_GB2312" w:cs="仿宋_GB2312"/>
          <w:color w:val="000000" w:themeColor="text1"/>
          <w:kern w:val="0"/>
          <w:sz w:val="24"/>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商业工伤保险</w:t>
      </w:r>
      <w:r>
        <w:rPr>
          <w:rFonts w:hint="eastAsia" w:ascii="仿宋_GB2312" w:hAnsi="仿宋_GB2312" w:eastAsia="仿宋_GB2312" w:cs="仿宋_GB2312"/>
          <w:color w:val="000000" w:themeColor="text1"/>
          <w:kern w:val="0"/>
          <w:sz w:val="24"/>
          <w:highlight w:val="none"/>
          <w14:textFill>
            <w14:solidFill>
              <w14:schemeClr w14:val="tx1"/>
            </w14:solidFill>
          </w14:textFill>
        </w:rPr>
        <w:t>服务</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采购</w:t>
      </w:r>
      <w:r>
        <w:rPr>
          <w:rFonts w:hint="eastAsia" w:ascii="仿宋_GB2312" w:hAnsi="仿宋_GB2312" w:eastAsia="仿宋_GB2312" w:cs="仿宋_GB2312"/>
          <w:color w:val="000000" w:themeColor="text1"/>
          <w:kern w:val="0"/>
          <w:sz w:val="24"/>
          <w:highlight w:val="none"/>
          <w14:textFill>
            <w14:solidFill>
              <w14:schemeClr w14:val="tx1"/>
            </w14:solidFill>
          </w14:textFill>
        </w:rPr>
        <w:t>（详见采购文件）</w:t>
      </w:r>
    </w:p>
    <w:p w14:paraId="18570CB6">
      <w:pPr>
        <w:tabs>
          <w:tab w:val="left" w:pos="1520"/>
        </w:tabs>
        <w:autoSpaceDE w:val="0"/>
        <w:autoSpaceDN w:val="0"/>
        <w:adjustRightInd w:val="0"/>
        <w:jc w:val="left"/>
        <w:rPr>
          <w:rFonts w:ascii="仿宋_GB2312" w:hAnsi="仿宋_GB2312" w:eastAsia="仿宋_GB2312" w:cs="仿宋_GB2312"/>
          <w:b/>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14:textFill>
            <w14:solidFill>
              <w14:schemeClr w14:val="tx1"/>
            </w14:solidFill>
          </w14:textFill>
        </w:rPr>
        <w:t>四、合格的供应商资格条件:</w:t>
      </w:r>
    </w:p>
    <w:p w14:paraId="66A0A8A0">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（一）一般资格要求</w:t>
      </w:r>
    </w:p>
    <w:p w14:paraId="72CB74E5">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1、具有独立承担民事责任的能力；</w:t>
      </w:r>
    </w:p>
    <w:p w14:paraId="69CF7E97">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2、具有良好的商业信誉和健全的财务会计制度；</w:t>
      </w:r>
    </w:p>
    <w:p w14:paraId="34A216DC">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3、具有履行合同所必须的设备和专业技术能力；</w:t>
      </w:r>
    </w:p>
    <w:p w14:paraId="57064CA2">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4、具有依法缴纳税收和社会保障资金的良好记录；</w:t>
      </w:r>
    </w:p>
    <w:p w14:paraId="77042A04">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5、参加本次采购活动前三年内，在经营活动中没有重大违法违规记录；</w:t>
      </w:r>
    </w:p>
    <w:p w14:paraId="380A4058">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6、法律、行政法规规定的其他条件；</w:t>
      </w:r>
    </w:p>
    <w:p w14:paraId="715F8A83">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7、单位负责人为同一人或者存在直接控股、管理关系的不同供应商，不得参加同一合同项下的采购活动；</w:t>
      </w:r>
    </w:p>
    <w:p w14:paraId="032F4A60">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8、供应商单位及其现任法定代表人、主要负责人参加本次采购活动前三年内不得具有行贿犯罪记录.</w:t>
      </w:r>
    </w:p>
    <w:p w14:paraId="3B64233C">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（二）针对本项目的特殊资格要求：</w:t>
      </w:r>
    </w:p>
    <w:p w14:paraId="001390E5">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1、本项目不允许联合体参加谈判。</w:t>
      </w:r>
    </w:p>
    <w:p w14:paraId="51E89399">
      <w:pPr>
        <w:rPr>
          <w:rFonts w:hint="eastAsia"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24"/>
          <w:highlight w:val="none"/>
          <w14:textFill>
            <w14:solidFill>
              <w14:schemeClr w14:val="tx1"/>
            </w14:solidFill>
          </w14:textFill>
        </w:rPr>
        <w:t>、中华人民共和国境内（不含香港、澳门、台湾地区）法律上和财务上独立的法人或依法登记注册的组织，合法运作并独立于采购人和招标代理机构。</w:t>
      </w:r>
    </w:p>
    <w:p w14:paraId="20647360">
      <w:pPr>
        <w:rPr>
          <w:rFonts w:hint="eastAsia"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24"/>
          <w:highlight w:val="none"/>
          <w14:textFill>
            <w14:solidFill>
              <w14:schemeClr w14:val="tx1"/>
            </w14:solidFill>
          </w14:textFill>
        </w:rPr>
        <w:t>、具备银保监等有权机构颁发的保险业务许可证。</w:t>
      </w:r>
    </w:p>
    <w:p w14:paraId="786D4CB0">
      <w:pP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24"/>
          <w:highlight w:val="none"/>
          <w14:textFill>
            <w14:solidFill>
              <w14:schemeClr w14:val="tx1"/>
            </w14:solidFill>
          </w14:textFill>
        </w:rPr>
        <w:t>、具有应答产品的证明材料</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w:t>
      </w:r>
    </w:p>
    <w:p w14:paraId="49BD5475">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五</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、谈判文件</w:t>
      </w: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获取地址</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w:t>
      </w: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点击下载</w:t>
      </w:r>
    </w:p>
    <w:p w14:paraId="7987F762">
      <w:pPr>
        <w:ind w:left="120" w:hanging="120" w:hangingChars="50"/>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六</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、谈判签到及递交响应文件截止时间</w:t>
      </w:r>
      <w:r>
        <w:rPr>
          <w:rFonts w:hint="eastAsia" w:ascii="仿宋_GB2312" w:hAnsi="仿宋_GB2312" w:eastAsia="仿宋_GB2312" w:cs="仿宋_GB2312"/>
          <w:color w:val="000000" w:themeColor="text1"/>
          <w:kern w:val="0"/>
          <w:sz w:val="24"/>
          <w:highlight w:val="none"/>
          <w14:textFill>
            <w14:solidFill>
              <w14:schemeClr w14:val="tx1"/>
            </w14:solidFill>
          </w14:textFill>
        </w:rPr>
        <w:t>：</w:t>
      </w:r>
      <w:r>
        <w:rPr>
          <w:rFonts w:hint="eastAsia" w:ascii="仿宋_GB2312" w:hAnsi="仿宋_GB2312" w:eastAsia="仿宋_GB2312" w:cs="仿宋_GB2312"/>
          <w:bCs/>
          <w:color w:val="000000" w:themeColor="text1"/>
          <w:kern w:val="0"/>
          <w:sz w:val="24"/>
          <w:highlight w:val="none"/>
          <w:u w:val="single"/>
          <w:lang w:val="en-US" w:eastAsia="zh-CN"/>
          <w14:textFill>
            <w14:solidFill>
              <w14:schemeClr w14:val="tx1"/>
            </w14:solidFill>
          </w14:textFill>
        </w:rPr>
        <w:t>2024</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年</w:t>
      </w:r>
      <w:r>
        <w:rPr>
          <w:rFonts w:hint="eastAsia" w:ascii="仿宋_GB2312" w:hAnsi="仿宋_GB2312" w:eastAsia="仿宋_GB2312" w:cs="仿宋_GB2312"/>
          <w:bCs/>
          <w:color w:val="000000" w:themeColor="text1"/>
          <w:kern w:val="0"/>
          <w:sz w:val="24"/>
          <w:highlight w:val="none"/>
          <w:u w:val="single"/>
          <w:lang w:val="en-US" w:eastAsia="zh-CN"/>
          <w14:textFill>
            <w14:solidFill>
              <w14:schemeClr w14:val="tx1"/>
            </w14:solidFill>
          </w14:textFill>
        </w:rPr>
        <w:t>10</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月</w:t>
      </w:r>
      <w:r>
        <w:rPr>
          <w:rFonts w:hint="eastAsia" w:ascii="仿宋_GB2312" w:hAnsi="仿宋_GB2312" w:eastAsia="仿宋_GB2312" w:cs="仿宋_GB2312"/>
          <w:bCs/>
          <w:color w:val="000000" w:themeColor="text1"/>
          <w:kern w:val="0"/>
          <w:sz w:val="24"/>
          <w:highlight w:val="none"/>
          <w:u w:val="single"/>
          <w:lang w:val="en-US" w:eastAsia="zh-CN"/>
          <w14:textFill>
            <w14:solidFill>
              <w14:schemeClr w14:val="tx1"/>
            </w14:solidFill>
          </w14:textFill>
        </w:rPr>
        <w:t>22</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日</w:t>
      </w:r>
      <w:r>
        <w:rPr>
          <w:rFonts w:hint="eastAsia" w:ascii="仿宋_GB2312" w:hAnsi="仿宋_GB2312" w:eastAsia="仿宋_GB2312" w:cs="仿宋_GB2312"/>
          <w:bCs/>
          <w:color w:val="000000" w:themeColor="text1"/>
          <w:kern w:val="0"/>
          <w:sz w:val="24"/>
          <w:highlight w:val="none"/>
          <w:u w:val="single"/>
          <w:lang w:val="en-US" w:eastAsia="zh-CN"/>
          <w14:textFill>
            <w14:solidFill>
              <w14:schemeClr w14:val="tx1"/>
            </w14:solidFill>
          </w14:textFill>
        </w:rPr>
        <w:t>10</w:t>
      </w:r>
      <w:r>
        <w:rPr>
          <w:rFonts w:hint="eastAsia" w:ascii="仿宋_GB2312" w:hAnsi="仿宋_GB2312" w:eastAsia="仿宋_GB2312" w:cs="仿宋_GB2312"/>
          <w:bCs/>
          <w:color w:val="000000" w:themeColor="text1"/>
          <w:kern w:val="0"/>
          <w:sz w:val="24"/>
          <w:highlight w:val="none"/>
          <w:u w:val="single"/>
          <w14:textFill>
            <w14:solidFill>
              <w14:schemeClr w14:val="tx1"/>
            </w14:solidFill>
          </w14:textFill>
        </w:rPr>
        <w:t>时</w:t>
      </w:r>
      <w:r>
        <w:rPr>
          <w:rFonts w:hint="eastAsia" w:ascii="仿宋_GB2312" w:hAnsi="仿宋_GB2312" w:eastAsia="仿宋_GB2312" w:cs="仿宋_GB2312"/>
          <w:bCs/>
          <w:color w:val="000000" w:themeColor="text1"/>
          <w:kern w:val="0"/>
          <w:sz w:val="24"/>
          <w:highlight w:val="none"/>
          <w14:textFill>
            <w14:solidFill>
              <w14:schemeClr w14:val="tx1"/>
            </w14:solidFill>
          </w14:textFill>
        </w:rPr>
        <w:t>。</w:t>
      </w:r>
      <w:r>
        <w:rPr>
          <w:rFonts w:hint="eastAsia" w:ascii="仿宋_GB2312" w:hAnsi="仿宋_GB2312" w:eastAsia="仿宋_GB2312" w:cs="仿宋_GB2312"/>
          <w:color w:val="000000" w:themeColor="text1"/>
          <w:kern w:val="0"/>
          <w:sz w:val="24"/>
          <w:highlight w:val="none"/>
          <w14:textFill>
            <w14:solidFill>
              <w14:schemeClr w14:val="tx1"/>
            </w14:solidFill>
          </w14:textFill>
        </w:rPr>
        <w:t>供应商应在谈判签到及递交响应文件截止时间前签到并递交响应文件，逾期递交的响应文件将被拒绝（本次谈判不接受邮寄的响应文件）。</w:t>
      </w:r>
    </w:p>
    <w:p w14:paraId="03C7699E">
      <w:pPr>
        <w:ind w:left="120" w:hanging="120" w:hangingChars="50"/>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七</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、本项目公告信息指定在隆昌市隆润实业集团有限公司官网（</w:t>
      </w:r>
      <w:r>
        <w:rPr>
          <w:rFonts w:hint="eastAsia"/>
          <w:color w:val="000000" w:themeColor="text1"/>
          <w:highlight w:val="none"/>
          <w14:textFill>
            <w14:solidFill>
              <w14:schemeClr w14:val="tx1"/>
            </w14:solidFill>
          </w14:textFill>
        </w:rPr>
        <w:t>www.longrunjituan.com</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）发布。</w:t>
      </w:r>
    </w:p>
    <w:p w14:paraId="2923EE67">
      <w:pPr>
        <w:rPr>
          <w:rFonts w:ascii="仿宋_GB2312" w:hAnsi="仿宋_GB2312" w:eastAsia="仿宋_GB2312" w:cs="仿宋_GB2312"/>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bCs/>
          <w:color w:val="000000" w:themeColor="text1"/>
          <w:kern w:val="0"/>
          <w:sz w:val="24"/>
          <w:highlight w:val="none"/>
          <w:lang w:val="en-US" w:eastAsia="zh-CN"/>
          <w14:textFill>
            <w14:solidFill>
              <w14:schemeClr w14:val="tx1"/>
            </w14:solidFill>
          </w14:textFill>
        </w:rPr>
        <w:t>八</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、谈判签到及递交响应文件地点：</w:t>
      </w:r>
      <w:r>
        <w:rPr>
          <w:rFonts w:ascii="仿宋_GB2312" w:hAnsi="仿宋_GB2312" w:eastAsia="仿宋_GB2312" w:cs="仿宋_GB2312"/>
          <w:color w:val="000000" w:themeColor="text1"/>
          <w:kern w:val="0"/>
          <w:sz w:val="24"/>
          <w:highlight w:val="none"/>
          <w14:textFill>
            <w14:solidFill>
              <w14:schemeClr w14:val="tx1"/>
            </w14:solidFill>
          </w14:textFill>
        </w:rPr>
        <w:t>隆昌市金鹅街道重庆路368号（隆昌市双创示范园</w:t>
      </w:r>
      <w:r>
        <w:rPr>
          <w:rFonts w:hint="eastAsia" w:ascii="仿宋_GB2312" w:hAnsi="仿宋_GB2312" w:eastAsia="仿宋_GB2312" w:cs="仿宋_GB2312"/>
          <w:color w:val="000000" w:themeColor="text1"/>
          <w:kern w:val="0"/>
          <w:sz w:val="24"/>
          <w:highlight w:val="none"/>
          <w14:textFill>
            <w14:solidFill>
              <w14:schemeClr w14:val="tx1"/>
            </w14:solidFill>
          </w14:textFill>
        </w:rPr>
        <w:t>5号楼4楼</w:t>
      </w:r>
      <w:r>
        <w:rPr>
          <w:rFonts w:ascii="仿宋_GB2312" w:hAnsi="仿宋_GB2312" w:eastAsia="仿宋_GB2312" w:cs="仿宋_GB2312"/>
          <w:color w:val="000000" w:themeColor="text1"/>
          <w:kern w:val="0"/>
          <w:sz w:val="24"/>
          <w:highlight w:val="none"/>
          <w14:textFill>
            <w14:solidFill>
              <w14:schemeClr w14:val="tx1"/>
            </w14:solidFill>
          </w14:textFill>
        </w:rPr>
        <w:t>）</w:t>
      </w:r>
    </w:p>
    <w:p w14:paraId="2AAF9D34">
      <w:pPr>
        <w:rPr>
          <w:rFonts w:ascii="仿宋_GB2312" w:hAnsi="仿宋_GB2312" w:eastAsia="仿宋_GB2312" w:cs="仿宋_GB2312"/>
          <w:b/>
          <w:bCs/>
          <w:color w:val="000000" w:themeColor="text1"/>
          <w:kern w:val="0"/>
          <w:sz w:val="24"/>
          <w:highlight w:val="none"/>
          <w14:textFill>
            <w14:solidFill>
              <w14:schemeClr w14:val="tx1"/>
            </w14:solidFill>
          </w14:textFill>
        </w:rPr>
      </w:pPr>
      <w:r>
        <w:rPr>
          <w:rFonts w:hint="eastAsia" w:ascii="仿宋_GB2312" w:hAnsi="仿宋_GB2312" w:eastAsia="仿宋_GB2312" w:cs="仿宋_GB2312"/>
          <w:b/>
          <w:color w:val="000000" w:themeColor="text1"/>
          <w:kern w:val="0"/>
          <w:sz w:val="24"/>
          <w:highlight w:val="none"/>
          <w:lang w:val="en-US" w:eastAsia="zh-CN"/>
          <w14:textFill>
            <w14:solidFill>
              <w14:schemeClr w14:val="tx1"/>
            </w14:solidFill>
          </w14:textFill>
        </w:rPr>
        <w:t>九</w:t>
      </w:r>
      <w:r>
        <w:rPr>
          <w:rFonts w:hint="eastAsia" w:ascii="仿宋_GB2312" w:hAnsi="仿宋_GB2312" w:eastAsia="仿宋_GB2312" w:cs="仿宋_GB2312"/>
          <w:b/>
          <w:color w:val="000000" w:themeColor="text1"/>
          <w:kern w:val="0"/>
          <w:sz w:val="24"/>
          <w:highlight w:val="none"/>
          <w14:textFill>
            <w14:solidFill>
              <w14:schemeClr w14:val="tx1"/>
            </w14:solidFill>
          </w14:textFill>
        </w:rPr>
        <w:t>、</w:t>
      </w:r>
      <w:r>
        <w:rPr>
          <w:rFonts w:hint="eastAsia" w:ascii="仿宋_GB2312" w:hAnsi="仿宋_GB2312" w:eastAsia="仿宋_GB2312" w:cs="仿宋_GB2312"/>
          <w:b/>
          <w:bCs/>
          <w:color w:val="000000" w:themeColor="text1"/>
          <w:kern w:val="0"/>
          <w:sz w:val="24"/>
          <w:highlight w:val="none"/>
          <w14:textFill>
            <w14:solidFill>
              <w14:schemeClr w14:val="tx1"/>
            </w14:solidFill>
          </w14:textFill>
        </w:rPr>
        <w:t>联系方式</w:t>
      </w:r>
    </w:p>
    <w:p w14:paraId="154BFA77">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采 购 人：隆昌市润泰建设工程有限公司</w:t>
      </w:r>
    </w:p>
    <w:p w14:paraId="37F813B8">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地    址：</w:t>
      </w:r>
      <w:r>
        <w:rPr>
          <w:rFonts w:ascii="仿宋_GB2312" w:hAnsi="仿宋_GB2312" w:eastAsia="仿宋_GB2312" w:cs="仿宋_GB2312"/>
          <w:color w:val="000000" w:themeColor="text1"/>
          <w:kern w:val="0"/>
          <w:sz w:val="24"/>
          <w:highlight w:val="none"/>
          <w14:textFill>
            <w14:solidFill>
              <w14:schemeClr w14:val="tx1"/>
            </w14:solidFill>
          </w14:textFill>
        </w:rPr>
        <w:t>隆昌市金鹅街道重庆路368号</w:t>
      </w:r>
    </w:p>
    <w:p w14:paraId="730AEA81">
      <w:pPr>
        <w:rPr>
          <w:rFonts w:hint="default" w:ascii="仿宋_GB2312" w:hAnsi="仿宋_GB2312" w:eastAsia="仿宋_GB2312" w:cs="仿宋_GB2312"/>
          <w:color w:val="000000" w:themeColor="text1"/>
          <w:kern w:val="0"/>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 系 人：</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甘先生</w:t>
      </w:r>
    </w:p>
    <w:p w14:paraId="7B9D40C4">
      <w:pPr>
        <w:rPr>
          <w:rFonts w:hint="default" w:ascii="仿宋_GB2312" w:hAnsi="仿宋_GB2312" w:eastAsia="仿宋_GB2312" w:cs="仿宋_GB2312"/>
          <w:color w:val="000000" w:themeColor="text1"/>
          <w:kern w:val="0"/>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联系电话：0832-62315</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13</w:t>
      </w:r>
    </w:p>
    <w:p w14:paraId="080FF6A1">
      <w:pPr>
        <w:ind w:firstLine="6360" w:firstLineChars="2650"/>
        <w:rPr>
          <w:rFonts w:ascii="仿宋_GB2312" w:hAnsi="仿宋_GB2312" w:eastAsia="仿宋_GB2312" w:cs="仿宋_GB2312"/>
          <w:color w:val="000000" w:themeColor="text1"/>
          <w:kern w:val="0"/>
          <w:sz w:val="24"/>
          <w:highlight w:val="none"/>
          <w14:textFill>
            <w14:solidFill>
              <w14:schemeClr w14:val="tx1"/>
            </w14:solidFill>
          </w14:textFill>
        </w:rPr>
      </w:pPr>
    </w:p>
    <w:p w14:paraId="1CD75686">
      <w:pPr>
        <w:ind w:firstLine="6360" w:firstLineChars="2650"/>
        <w:rPr>
          <w:rFonts w:ascii="仿宋_GB2312" w:hAnsi="仿宋_GB2312" w:eastAsia="仿宋_GB2312" w:cs="仿宋_GB2312"/>
          <w:color w:val="000000" w:themeColor="text1"/>
          <w:kern w:val="0"/>
          <w:sz w:val="24"/>
          <w:highlight w:val="none"/>
          <w14:textFill>
            <w14:solidFill>
              <w14:schemeClr w14:val="tx1"/>
            </w14:solidFill>
          </w14:textFill>
        </w:rPr>
      </w:pPr>
    </w:p>
    <w:p w14:paraId="06E97818">
      <w:pPr>
        <w:ind w:firstLine="6360" w:firstLineChars="2650"/>
        <w:rPr>
          <w:rFonts w:ascii="仿宋_GB2312" w:hAnsi="仿宋_GB2312" w:eastAsia="仿宋_GB2312" w:cs="仿宋_GB2312"/>
          <w:color w:val="000000" w:themeColor="text1"/>
          <w:kern w:val="0"/>
          <w:sz w:val="24"/>
          <w:highlight w:val="none"/>
          <w14:textFill>
            <w14:solidFill>
              <w14:schemeClr w14:val="tx1"/>
            </w14:solidFill>
          </w14:textFill>
        </w:rPr>
      </w:pPr>
    </w:p>
    <w:p w14:paraId="6DEF8F85">
      <w:pPr>
        <w:pStyle w:val="12"/>
        <w:numPr>
          <w:ilvl w:val="0"/>
          <w:numId w:val="0"/>
        </w:numPr>
        <w:rPr>
          <w:color w:val="000000" w:themeColor="text1"/>
          <w:highlight w:val="none"/>
          <w14:textFill>
            <w14:solidFill>
              <w14:schemeClr w14:val="tx1"/>
            </w14:solidFill>
          </w14:textFill>
        </w:rPr>
      </w:pPr>
      <w:bookmarkStart w:id="8" w:name="_Toc239651294"/>
      <w:bookmarkStart w:id="9" w:name="_Toc491847641"/>
      <w:bookmarkStart w:id="10" w:name="_Toc239650575"/>
      <w:bookmarkStart w:id="11" w:name="_Toc20961"/>
    </w:p>
    <w:p w14:paraId="234CEEC6">
      <w:pPr>
        <w:ind w:right="480"/>
        <w:jc w:val="righ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隆昌市润泰建设工程有限公司</w:t>
      </w:r>
    </w:p>
    <w:p w14:paraId="1E05F224">
      <w:pPr>
        <w:wordWrap w:val="0"/>
        <w:ind w:right="480"/>
        <w:jc w:val="cente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 xml:space="preserve">                                             202</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24"/>
          <w:highlight w:val="none"/>
          <w14:textFill>
            <w14:solidFill>
              <w14:schemeClr w14:val="tx1"/>
            </w14:solidFill>
          </w14:textFill>
        </w:rPr>
        <w:t>年</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kern w:val="0"/>
          <w:sz w:val="24"/>
          <w:highlight w:val="none"/>
          <w14:textFill>
            <w14:solidFill>
              <w14:schemeClr w14:val="tx1"/>
            </w14:solidFill>
          </w14:textFill>
        </w:rPr>
        <w:t>月</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14</w:t>
      </w:r>
      <w:r>
        <w:rPr>
          <w:rFonts w:hint="eastAsia" w:ascii="仿宋_GB2312" w:hAnsi="仿宋_GB2312" w:eastAsia="仿宋_GB2312" w:cs="仿宋_GB2312"/>
          <w:color w:val="000000" w:themeColor="text1"/>
          <w:kern w:val="0"/>
          <w:sz w:val="24"/>
          <w:highlight w:val="none"/>
          <w14:textFill>
            <w14:solidFill>
              <w14:schemeClr w14:val="tx1"/>
            </w14:solidFill>
          </w14:textFill>
        </w:rPr>
        <w:t>日</w:t>
      </w:r>
    </w:p>
    <w:p w14:paraId="4342C9DD">
      <w:pPr>
        <w:pStyle w:val="20"/>
        <w:tabs>
          <w:tab w:val="right" w:leader="dot" w:pos="9057"/>
        </w:tabs>
        <w:jc w:val="center"/>
        <w:outlineLvl w:val="0"/>
        <w:rPr>
          <w:rStyle w:val="73"/>
          <w:rFonts w:ascii="仿宋_GB2312" w:hAnsi="仿宋_GB2312" w:eastAsia="仿宋_GB2312" w:cs="仿宋_GB2312"/>
          <w:color w:val="000000" w:themeColor="text1"/>
          <w:sz w:val="32"/>
          <w:szCs w:val="32"/>
          <w:highlight w:val="none"/>
          <w14:textFill>
            <w14:solidFill>
              <w14:schemeClr w14:val="tx1"/>
            </w14:solidFill>
          </w14:textFill>
        </w:rPr>
      </w:pPr>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br w:type="page"/>
      </w:r>
      <w:bookmarkStart w:id="12" w:name="_Toc27077"/>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t>第二部分 竞争性谈判须知</w:t>
      </w:r>
      <w:bookmarkEnd w:id="8"/>
      <w:bookmarkEnd w:id="9"/>
      <w:bookmarkEnd w:id="10"/>
      <w:bookmarkEnd w:id="11"/>
      <w:bookmarkEnd w:id="12"/>
    </w:p>
    <w:p w14:paraId="7C508900">
      <w:pPr>
        <w:keepNext/>
        <w:keepLines/>
        <w:spacing w:before="260" w:after="260" w:line="413" w:lineRule="auto"/>
        <w:jc w:val="center"/>
        <w:rPr>
          <w:rFonts w:ascii="仿宋_GB2312" w:hAnsi="仿宋_GB2312" w:eastAsia="仿宋_GB2312" w:cs="仿宋_GB2312"/>
          <w:b/>
          <w:color w:val="000000" w:themeColor="text1"/>
          <w:sz w:val="28"/>
          <w:szCs w:val="28"/>
          <w:highlight w:val="none"/>
          <w14:textFill>
            <w14:solidFill>
              <w14:schemeClr w14:val="tx1"/>
            </w14:solidFill>
          </w14:textFill>
        </w:rPr>
      </w:pPr>
      <w:bookmarkStart w:id="13" w:name="_Toc213496268"/>
      <w:bookmarkStart w:id="14" w:name="_Toc213396760"/>
      <w:bookmarkStart w:id="15" w:name="_Toc189727030"/>
      <w:bookmarkStart w:id="16" w:name="_Toc263352864"/>
      <w:bookmarkStart w:id="17" w:name="_Toc213396946"/>
      <w:bookmarkStart w:id="18" w:name="_Toc217446032"/>
      <w:bookmarkStart w:id="19" w:name="_Toc213397010"/>
      <w:r>
        <w:rPr>
          <w:rFonts w:hint="eastAsia" w:ascii="仿宋_GB2312" w:hAnsi="仿宋_GB2312" w:eastAsia="仿宋_GB2312" w:cs="仿宋_GB2312"/>
          <w:b/>
          <w:color w:val="000000" w:themeColor="text1"/>
          <w:sz w:val="28"/>
          <w:szCs w:val="28"/>
          <w:highlight w:val="none"/>
          <w14:textFill>
            <w14:solidFill>
              <w14:schemeClr w14:val="tx1"/>
            </w14:solidFill>
          </w14:textFill>
        </w:rPr>
        <w:t>供应商须知前附表</w:t>
      </w:r>
      <w:bookmarkEnd w:id="13"/>
      <w:bookmarkEnd w:id="14"/>
      <w:bookmarkEnd w:id="15"/>
      <w:bookmarkEnd w:id="16"/>
      <w:bookmarkEnd w:id="17"/>
      <w:bookmarkEnd w:id="18"/>
      <w:bookmarkEnd w:id="19"/>
    </w:p>
    <w:tbl>
      <w:tblPr>
        <w:tblStyle w:val="28"/>
        <w:tblW w:w="9819" w:type="dxa"/>
        <w:jc w:val="center"/>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Layout w:type="fixed"/>
        <w:tblCellMar>
          <w:top w:w="0" w:type="dxa"/>
          <w:left w:w="0" w:type="dxa"/>
          <w:bottom w:w="0" w:type="dxa"/>
          <w:right w:w="0" w:type="dxa"/>
        </w:tblCellMar>
      </w:tblPr>
      <w:tblGrid>
        <w:gridCol w:w="816"/>
        <w:gridCol w:w="2684"/>
        <w:gridCol w:w="6319"/>
      </w:tblGrid>
      <w:tr w14:paraId="1BFE4B7E">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51" w:hRule="exact"/>
          <w:tblHeader/>
          <w:jc w:val="center"/>
        </w:trPr>
        <w:tc>
          <w:tcPr>
            <w:tcW w:w="816" w:type="dxa"/>
            <w:vAlign w:val="center"/>
          </w:tcPr>
          <w:p w14:paraId="00BCA45E">
            <w:pPr>
              <w:pStyle w:val="48"/>
              <w:spacing w:line="360" w:lineRule="exact"/>
              <w:ind w:left="9"/>
              <w:jc w:val="center"/>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lang w:val="zh-CN"/>
                <w14:textFill>
                  <w14:solidFill>
                    <w14:schemeClr w14:val="tx1"/>
                  </w14:solidFill>
                </w14:textFill>
              </w:rPr>
              <w:t xml:space="preserve">序号 </w:t>
            </w:r>
          </w:p>
        </w:tc>
        <w:tc>
          <w:tcPr>
            <w:tcW w:w="2684" w:type="dxa"/>
            <w:vAlign w:val="center"/>
          </w:tcPr>
          <w:p w14:paraId="34765973">
            <w:pPr>
              <w:pStyle w:val="48"/>
              <w:spacing w:line="360" w:lineRule="exact"/>
              <w:ind w:left="38"/>
              <w:jc w:val="center"/>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lang w:val="zh-CN"/>
                <w14:textFill>
                  <w14:solidFill>
                    <w14:schemeClr w14:val="tx1"/>
                  </w14:solidFill>
                </w14:textFill>
              </w:rPr>
              <w:t>条款名称</w:t>
            </w:r>
          </w:p>
        </w:tc>
        <w:tc>
          <w:tcPr>
            <w:tcW w:w="6319" w:type="dxa"/>
            <w:vAlign w:val="center"/>
          </w:tcPr>
          <w:p w14:paraId="45D2A00B">
            <w:pPr>
              <w:pStyle w:val="48"/>
              <w:spacing w:line="360" w:lineRule="exact"/>
              <w:jc w:val="center"/>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lang w:val="zh-CN"/>
                <w14:textFill>
                  <w14:solidFill>
                    <w14:schemeClr w14:val="tx1"/>
                  </w14:solidFill>
                </w14:textFill>
              </w:rPr>
              <w:t>说明和要求</w:t>
            </w:r>
          </w:p>
        </w:tc>
      </w:tr>
      <w:tr w14:paraId="4A67893E">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427" w:hRule="atLeast"/>
          <w:jc w:val="center"/>
        </w:trPr>
        <w:tc>
          <w:tcPr>
            <w:tcW w:w="816" w:type="dxa"/>
            <w:vAlign w:val="center"/>
          </w:tcPr>
          <w:p w14:paraId="7363DA41">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w:t>
            </w:r>
          </w:p>
        </w:tc>
        <w:tc>
          <w:tcPr>
            <w:tcW w:w="2684" w:type="dxa"/>
            <w:vAlign w:val="center"/>
          </w:tcPr>
          <w:p w14:paraId="37F8F45A">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采购人</w:t>
            </w:r>
          </w:p>
        </w:tc>
        <w:tc>
          <w:tcPr>
            <w:tcW w:w="6319" w:type="dxa"/>
            <w:vAlign w:val="center"/>
          </w:tcPr>
          <w:p w14:paraId="0D079A8B">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采 购 人：隆昌市润泰建设工程有限公司</w:t>
            </w:r>
          </w:p>
          <w:p w14:paraId="7C4C5503">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地    址：</w:t>
            </w:r>
            <w:r>
              <w:rPr>
                <w:rFonts w:ascii="仿宋_GB2312" w:hAnsi="仿宋_GB2312" w:eastAsia="仿宋_GB2312" w:cs="仿宋_GB2312"/>
                <w:color w:val="000000" w:themeColor="text1"/>
                <w:kern w:val="0"/>
                <w:sz w:val="24"/>
                <w:highlight w:val="none"/>
                <w14:textFill>
                  <w14:solidFill>
                    <w14:schemeClr w14:val="tx1"/>
                  </w14:solidFill>
                </w14:textFill>
              </w:rPr>
              <w:t>隆昌市金鹅街道重庆路368号</w:t>
            </w:r>
          </w:p>
          <w:p w14:paraId="091D37D8">
            <w:pP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 系 人：</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甘先生</w:t>
            </w:r>
          </w:p>
          <w:p w14:paraId="04BB10F6">
            <w:pPr>
              <w:rPr>
                <w:rFonts w:hint="default" w:ascii="仿宋_GB2312" w:hAnsi="仿宋_GB2312" w:eastAsia="仿宋_GB2312" w:cs="仿宋_GB2312"/>
                <w:color w:val="000000" w:themeColor="text1"/>
                <w:kern w:val="0"/>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联系电话：0832-62315</w:t>
            </w:r>
            <w:r>
              <w:rPr>
                <w:rFonts w:hint="eastAsia" w:ascii="仿宋_GB2312" w:hAnsi="仿宋_GB2312" w:eastAsia="仿宋_GB2312" w:cs="仿宋_GB2312"/>
                <w:color w:val="000000" w:themeColor="text1"/>
                <w:kern w:val="0"/>
                <w:sz w:val="24"/>
                <w:highlight w:val="none"/>
                <w:lang w:val="en-US" w:eastAsia="zh-CN"/>
                <w14:textFill>
                  <w14:solidFill>
                    <w14:schemeClr w14:val="tx1"/>
                  </w14:solidFill>
                </w14:textFill>
              </w:rPr>
              <w:t>13</w:t>
            </w:r>
          </w:p>
        </w:tc>
      </w:tr>
      <w:tr w14:paraId="01CE91B2">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197" w:hRule="exact"/>
          <w:jc w:val="center"/>
        </w:trPr>
        <w:tc>
          <w:tcPr>
            <w:tcW w:w="816" w:type="dxa"/>
            <w:vAlign w:val="center"/>
          </w:tcPr>
          <w:p w14:paraId="022AF2A5">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2</w:t>
            </w:r>
          </w:p>
        </w:tc>
        <w:tc>
          <w:tcPr>
            <w:tcW w:w="2684" w:type="dxa"/>
            <w:vAlign w:val="center"/>
          </w:tcPr>
          <w:p w14:paraId="0D85591F">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采购项目名称</w:t>
            </w:r>
          </w:p>
        </w:tc>
        <w:tc>
          <w:tcPr>
            <w:tcW w:w="6319" w:type="dxa"/>
            <w:vAlign w:val="center"/>
          </w:tcPr>
          <w:p w14:paraId="496E0264">
            <w:pPr>
              <w:spacing w:line="360" w:lineRule="exac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lang w:eastAsia="zh-CN"/>
                <w14:textFill>
                  <w14:solidFill>
                    <w14:schemeClr w14:val="tx1"/>
                  </w14:solidFill>
                </w14:textFill>
              </w:rPr>
              <w:t>隆润朗景台项目“建筑工程施工人员团体人身意外伤害保险”服务采购</w:t>
            </w:r>
          </w:p>
        </w:tc>
      </w:tr>
      <w:tr w14:paraId="0B25B27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94" w:hRule="exact"/>
          <w:jc w:val="center"/>
        </w:trPr>
        <w:tc>
          <w:tcPr>
            <w:tcW w:w="816" w:type="dxa"/>
            <w:vAlign w:val="center"/>
          </w:tcPr>
          <w:p w14:paraId="16E07DD6">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3</w:t>
            </w:r>
          </w:p>
        </w:tc>
        <w:tc>
          <w:tcPr>
            <w:tcW w:w="2684" w:type="dxa"/>
            <w:vAlign w:val="center"/>
          </w:tcPr>
          <w:p w14:paraId="13D17F31">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采购项目编号</w:t>
            </w:r>
          </w:p>
        </w:tc>
        <w:tc>
          <w:tcPr>
            <w:tcW w:w="6319" w:type="dxa"/>
            <w:vAlign w:val="center"/>
          </w:tcPr>
          <w:p w14:paraId="016CD81E">
            <w:pPr>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eastAsia="zh-CN"/>
                <w14:textFill>
                  <w14:solidFill>
                    <w14:schemeClr w14:val="tx1"/>
                  </w14:solidFill>
                </w14:textFill>
              </w:rPr>
              <w:t xml:space="preserve">LRRT-B-20241002    </w:t>
            </w:r>
          </w:p>
        </w:tc>
      </w:tr>
      <w:tr w14:paraId="0DC4C100">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65" w:hRule="exact"/>
          <w:jc w:val="center"/>
        </w:trPr>
        <w:tc>
          <w:tcPr>
            <w:tcW w:w="816" w:type="dxa"/>
            <w:vAlign w:val="center"/>
          </w:tcPr>
          <w:p w14:paraId="373E38AC">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4</w:t>
            </w:r>
          </w:p>
        </w:tc>
        <w:tc>
          <w:tcPr>
            <w:tcW w:w="2684" w:type="dxa"/>
            <w:vAlign w:val="center"/>
          </w:tcPr>
          <w:p w14:paraId="11ABACD2">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资金落实情况</w:t>
            </w:r>
          </w:p>
        </w:tc>
        <w:tc>
          <w:tcPr>
            <w:tcW w:w="6319" w:type="dxa"/>
            <w:vAlign w:val="center"/>
          </w:tcPr>
          <w:p w14:paraId="207C7A95">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已落实。</w:t>
            </w:r>
          </w:p>
        </w:tc>
      </w:tr>
      <w:tr w14:paraId="3DD50CA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433" w:hRule="exact"/>
          <w:jc w:val="center"/>
        </w:trPr>
        <w:tc>
          <w:tcPr>
            <w:tcW w:w="816" w:type="dxa"/>
            <w:vAlign w:val="center"/>
          </w:tcPr>
          <w:p w14:paraId="4B21EB92">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5</w:t>
            </w:r>
          </w:p>
        </w:tc>
        <w:tc>
          <w:tcPr>
            <w:tcW w:w="2684" w:type="dxa"/>
            <w:vAlign w:val="center"/>
          </w:tcPr>
          <w:p w14:paraId="2C451A6B">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最高限价</w:t>
            </w:r>
          </w:p>
          <w:p w14:paraId="6EF2B9AC">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tcPr>
          <w:p w14:paraId="50C5E2CE">
            <w:pPr>
              <w:pStyle w:val="48"/>
              <w:spacing w:line="360" w:lineRule="exact"/>
              <w:ind w:firstLine="120" w:firstLineChars="50"/>
              <w:rPr>
                <w:rFonts w:hint="eastAsia"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最高限价（人民币）：446282.64元</w:t>
            </w:r>
          </w:p>
          <w:p w14:paraId="2007FA4B">
            <w:pPr>
              <w:pStyle w:val="48"/>
              <w:spacing w:line="360" w:lineRule="exact"/>
              <w:ind w:firstLine="120" w:firstLineChars="50"/>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报价高于最高限价的供应商将作为无效供应商处理。</w:t>
            </w:r>
          </w:p>
        </w:tc>
      </w:tr>
      <w:tr w14:paraId="5036FB57">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58" w:hRule="exact"/>
          <w:jc w:val="center"/>
        </w:trPr>
        <w:tc>
          <w:tcPr>
            <w:tcW w:w="816" w:type="dxa"/>
            <w:vAlign w:val="center"/>
          </w:tcPr>
          <w:p w14:paraId="40898C93">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6</w:t>
            </w:r>
          </w:p>
        </w:tc>
        <w:tc>
          <w:tcPr>
            <w:tcW w:w="2684" w:type="dxa"/>
            <w:vAlign w:val="center"/>
          </w:tcPr>
          <w:p w14:paraId="08FA8CD0">
            <w:pPr>
              <w:pStyle w:val="48"/>
              <w:spacing w:line="360" w:lineRule="exact"/>
              <w:ind w:left="38"/>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采购方式</w:t>
            </w:r>
          </w:p>
        </w:tc>
        <w:tc>
          <w:tcPr>
            <w:tcW w:w="6319" w:type="dxa"/>
            <w:vAlign w:val="center"/>
          </w:tcPr>
          <w:p w14:paraId="1B08F4D7">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竞争性谈判。</w:t>
            </w:r>
          </w:p>
        </w:tc>
      </w:tr>
      <w:tr w14:paraId="09B989E7">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429" w:hRule="atLeast"/>
          <w:jc w:val="center"/>
        </w:trPr>
        <w:tc>
          <w:tcPr>
            <w:tcW w:w="816" w:type="dxa"/>
            <w:vAlign w:val="center"/>
          </w:tcPr>
          <w:p w14:paraId="7CDDE362">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7</w:t>
            </w:r>
          </w:p>
        </w:tc>
        <w:tc>
          <w:tcPr>
            <w:tcW w:w="2684" w:type="dxa"/>
            <w:vAlign w:val="center"/>
          </w:tcPr>
          <w:p w14:paraId="0EE39609">
            <w:pPr>
              <w:pStyle w:val="48"/>
              <w:spacing w:line="360" w:lineRule="exact"/>
              <w:ind w:left="96"/>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评审方法</w:t>
            </w:r>
          </w:p>
        </w:tc>
        <w:tc>
          <w:tcPr>
            <w:tcW w:w="6319" w:type="dxa"/>
            <w:vAlign w:val="center"/>
          </w:tcPr>
          <w:p w14:paraId="05E9E2C4">
            <w:pPr>
              <w:pStyle w:val="48"/>
              <w:spacing w:line="360" w:lineRule="exact"/>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最低评标价法</w:t>
            </w:r>
          </w:p>
        </w:tc>
      </w:tr>
      <w:tr w14:paraId="515AB718">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075" w:hRule="exact"/>
          <w:jc w:val="center"/>
        </w:trPr>
        <w:tc>
          <w:tcPr>
            <w:tcW w:w="816" w:type="dxa"/>
            <w:vAlign w:val="center"/>
          </w:tcPr>
          <w:p w14:paraId="1B0E8577">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8</w:t>
            </w:r>
          </w:p>
        </w:tc>
        <w:tc>
          <w:tcPr>
            <w:tcW w:w="2684" w:type="dxa"/>
            <w:vAlign w:val="center"/>
          </w:tcPr>
          <w:p w14:paraId="3E76190A">
            <w:pPr>
              <w:pStyle w:val="48"/>
              <w:spacing w:line="360" w:lineRule="exact"/>
              <w:ind w:left="96"/>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质量要求、验收标准</w:t>
            </w:r>
          </w:p>
        </w:tc>
        <w:tc>
          <w:tcPr>
            <w:tcW w:w="6319" w:type="dxa"/>
            <w:vAlign w:val="center"/>
          </w:tcPr>
          <w:p w14:paraId="29F0FE4C">
            <w:pPr>
              <w:pStyle w:val="48"/>
              <w:spacing w:line="360" w:lineRule="exact"/>
              <w:ind w:firstLine="120" w:firstLineChars="50"/>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质量要求：达到国家现行</w:t>
            </w:r>
            <w:r>
              <w:rPr>
                <w:rFonts w:hint="eastAsia" w:ascii="仿宋_GB2312" w:hAnsi="仿宋_GB2312" w:eastAsia="仿宋_GB2312" w:cs="仿宋_GB2312"/>
                <w:color w:val="000000" w:themeColor="text1"/>
                <w:highlight w:val="none"/>
                <w14:textFill>
                  <w14:solidFill>
                    <w14:schemeClr w14:val="tx1"/>
                  </w14:solidFill>
                </w14:textFill>
              </w:rPr>
              <w:t>技术标准和谈判文件要求。</w:t>
            </w:r>
          </w:p>
          <w:p w14:paraId="1E7B21E8">
            <w:pPr>
              <w:pStyle w:val="48"/>
              <w:spacing w:line="360" w:lineRule="exact"/>
              <w:ind w:left="120" w:leftChars="57"/>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验收标准：按照谈判文件、成交供应商响应文件和采购合同实施验收。</w:t>
            </w:r>
          </w:p>
        </w:tc>
      </w:tr>
      <w:tr w14:paraId="5002556D">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690" w:hRule="atLeast"/>
          <w:jc w:val="center"/>
        </w:trPr>
        <w:tc>
          <w:tcPr>
            <w:tcW w:w="816" w:type="dxa"/>
            <w:vAlign w:val="center"/>
          </w:tcPr>
          <w:p w14:paraId="5717161B">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9</w:t>
            </w:r>
          </w:p>
        </w:tc>
        <w:tc>
          <w:tcPr>
            <w:tcW w:w="2684" w:type="dxa"/>
            <w:vAlign w:val="center"/>
          </w:tcPr>
          <w:p w14:paraId="378B756F">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查勘现场</w:t>
            </w:r>
          </w:p>
        </w:tc>
        <w:tc>
          <w:tcPr>
            <w:tcW w:w="6319" w:type="dxa"/>
            <w:vAlign w:val="center"/>
          </w:tcPr>
          <w:p w14:paraId="2C3C69FC">
            <w:pPr>
              <w:pStyle w:val="48"/>
              <w:spacing w:line="360" w:lineRule="exact"/>
              <w:jc w:val="left"/>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不组织</w:t>
            </w:r>
          </w:p>
          <w:p w14:paraId="65719995">
            <w:pPr>
              <w:pStyle w:val="48"/>
              <w:spacing w:line="360" w:lineRule="exact"/>
              <w:jc w:val="left"/>
              <w:rPr>
                <w:rFonts w:ascii="仿宋_GB2312" w:hAnsi="仿宋_GB2312" w:eastAsia="仿宋_GB2312" w:cs="仿宋_GB2312"/>
                <w:color w:val="000000" w:themeColor="text1"/>
                <w:highlight w:val="none"/>
                <w:lang w:val="zh-CN"/>
                <w14:textFill>
                  <w14:solidFill>
                    <w14:schemeClr w14:val="tx1"/>
                  </w14:solidFill>
                </w14:textFill>
              </w:rPr>
            </w:pPr>
          </w:p>
        </w:tc>
      </w:tr>
      <w:tr w14:paraId="75DDF4AA">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816" w:type="dxa"/>
            <w:vAlign w:val="center"/>
          </w:tcPr>
          <w:p w14:paraId="236E6B6D">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10</w:t>
            </w:r>
          </w:p>
        </w:tc>
        <w:tc>
          <w:tcPr>
            <w:tcW w:w="2684" w:type="dxa"/>
            <w:vAlign w:val="center"/>
          </w:tcPr>
          <w:p w14:paraId="7F38666C">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供应商提出质疑的时间</w:t>
            </w:r>
          </w:p>
        </w:tc>
        <w:tc>
          <w:tcPr>
            <w:tcW w:w="6319" w:type="dxa"/>
            <w:vAlign w:val="center"/>
          </w:tcPr>
          <w:p w14:paraId="2597AF83">
            <w:pPr>
              <w:pStyle w:val="48"/>
              <w:spacing w:line="360" w:lineRule="exact"/>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对谈判文件提出质疑的时间：获得谈判文件之日起三个工作日内，递交响应文件截止时间之前。</w:t>
            </w:r>
          </w:p>
          <w:p w14:paraId="376E5395">
            <w:pPr>
              <w:pStyle w:val="48"/>
              <w:spacing w:line="360" w:lineRule="exact"/>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对采购结果提出的质疑：结果公告发布后一个工作日内。</w:t>
            </w:r>
          </w:p>
          <w:p w14:paraId="4A6060F7">
            <w:pPr>
              <w:pStyle w:val="48"/>
              <w:spacing w:line="360" w:lineRule="exact"/>
              <w:rPr>
                <w:rFonts w:ascii="仿宋_GB2312" w:hAnsi="仿宋_GB2312" w:eastAsia="仿宋_GB2312" w:cs="仿宋_GB2312"/>
                <w:color w:val="000000" w:themeColor="text1"/>
                <w:highlight w:val="none"/>
                <w14:textFill>
                  <w14:solidFill>
                    <w14:schemeClr w14:val="tx1"/>
                  </w14:solidFill>
                </w14:textFill>
              </w:rPr>
            </w:pPr>
          </w:p>
        </w:tc>
      </w:tr>
      <w:tr w14:paraId="4977A64E">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2051" w:hRule="atLeast"/>
          <w:jc w:val="center"/>
        </w:trPr>
        <w:tc>
          <w:tcPr>
            <w:tcW w:w="816" w:type="dxa"/>
            <w:vAlign w:val="center"/>
          </w:tcPr>
          <w:p w14:paraId="411188B3">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11</w:t>
            </w:r>
          </w:p>
        </w:tc>
        <w:tc>
          <w:tcPr>
            <w:tcW w:w="2684" w:type="dxa"/>
            <w:vAlign w:val="center"/>
          </w:tcPr>
          <w:p w14:paraId="53A7B8E5">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询问、质疑的受理及答复</w:t>
            </w:r>
          </w:p>
        </w:tc>
        <w:tc>
          <w:tcPr>
            <w:tcW w:w="6319" w:type="dxa"/>
            <w:vAlign w:val="center"/>
          </w:tcPr>
          <w:p w14:paraId="29656F87">
            <w:pPr>
              <w:pStyle w:val="48"/>
              <w:spacing w:line="360" w:lineRule="exact"/>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供应商对采购文件中的资格条件、技术（服务）要求、商务要求、评分标准提出的询问、质疑由采购人受理并答复。供应商对采购文件除资格条件、技术（服务）要求、商务要求、评分标准以外的内容、采购过程、采购结果提出的询问、质疑由采购人或代理机构受理并答复。</w:t>
            </w:r>
          </w:p>
        </w:tc>
      </w:tr>
      <w:tr w14:paraId="20FB9378">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870" w:hRule="exact"/>
          <w:jc w:val="center"/>
        </w:trPr>
        <w:tc>
          <w:tcPr>
            <w:tcW w:w="816" w:type="dxa"/>
            <w:vAlign w:val="center"/>
          </w:tcPr>
          <w:p w14:paraId="5DC922C4">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12</w:t>
            </w:r>
          </w:p>
        </w:tc>
        <w:tc>
          <w:tcPr>
            <w:tcW w:w="2684" w:type="dxa"/>
            <w:vAlign w:val="center"/>
          </w:tcPr>
          <w:p w14:paraId="2A652ABB">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分包/转包履约</w:t>
            </w: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vAlign w:val="center"/>
          </w:tcPr>
          <w:p w14:paraId="3333E171">
            <w:pPr>
              <w:pStyle w:val="48"/>
              <w:spacing w:line="360" w:lineRule="exact"/>
              <w:rPr>
                <w:rFonts w:hint="eastAsia" w:ascii="仿宋_GB2312" w:hAnsi="仿宋_GB2312" w:eastAsia="仿宋_GB2312" w:cs="仿宋_GB2312"/>
                <w:color w:val="000000" w:themeColor="text1"/>
                <w:highlight w:val="none"/>
                <w:lang w:eastAsia="zh-CN"/>
                <w14:textFill>
                  <w14:solidFill>
                    <w14:schemeClr w14:val="tx1"/>
                  </w14:solidFill>
                </w14:textFill>
              </w:rPr>
            </w:pPr>
            <w:r>
              <w:rPr>
                <w:rFonts w:hint="eastAsia" w:ascii="仿宋_GB2312" w:hAnsi="仿宋_GB2312" w:eastAsia="仿宋_GB2312" w:cs="仿宋_GB2312"/>
                <w:color w:val="000000" w:themeColor="text1"/>
                <w:highlight w:val="none"/>
                <w:lang w:val="en-US" w:eastAsia="zh-CN"/>
                <w14:textFill>
                  <w14:solidFill>
                    <w14:schemeClr w14:val="tx1"/>
                  </w14:solidFill>
                </w14:textFill>
              </w:rPr>
              <w:t>不允许</w:t>
            </w:r>
          </w:p>
        </w:tc>
      </w:tr>
      <w:tr w14:paraId="30C3119B">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730" w:hRule="atLeast"/>
          <w:jc w:val="center"/>
        </w:trPr>
        <w:tc>
          <w:tcPr>
            <w:tcW w:w="816" w:type="dxa"/>
            <w:vAlign w:val="center"/>
          </w:tcPr>
          <w:p w14:paraId="0D6B15C8">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13</w:t>
            </w:r>
          </w:p>
        </w:tc>
        <w:tc>
          <w:tcPr>
            <w:tcW w:w="2684" w:type="dxa"/>
            <w:vAlign w:val="center"/>
          </w:tcPr>
          <w:p w14:paraId="42837652">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低于成本价不正当竞争预防措施</w:t>
            </w: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vAlign w:val="center"/>
          </w:tcPr>
          <w:p w14:paraId="46D31CF7">
            <w:pPr>
              <w:pStyle w:val="48"/>
              <w:spacing w:line="360" w:lineRule="exact"/>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评审委员会认为供应商的报价明显低于其他通过符合性审查供应商的报价，有可能影响服务质量或者不能诚信履约的，应当要求其在评审现场合理的时间内提供书面说明，必要时提交相关证明材料；供应商不能证明其报价合理性的，评审委员会应当将其作为无效供应商处理。</w:t>
            </w:r>
          </w:p>
        </w:tc>
      </w:tr>
      <w:tr w14:paraId="4F1458CF">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814" w:hRule="exact"/>
          <w:jc w:val="center"/>
        </w:trPr>
        <w:tc>
          <w:tcPr>
            <w:tcW w:w="816" w:type="dxa"/>
            <w:vAlign w:val="center"/>
          </w:tcPr>
          <w:p w14:paraId="752ED090">
            <w:pPr>
              <w:pStyle w:val="48"/>
              <w:spacing w:line="360" w:lineRule="exact"/>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14</w:t>
            </w:r>
          </w:p>
        </w:tc>
        <w:tc>
          <w:tcPr>
            <w:tcW w:w="2684" w:type="dxa"/>
            <w:vAlign w:val="center"/>
          </w:tcPr>
          <w:p w14:paraId="665BEA79">
            <w:pPr>
              <w:pStyle w:val="48"/>
              <w:spacing w:line="360" w:lineRule="exact"/>
              <w:ind w:left="52"/>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构成谈判文件的其他文件</w:t>
            </w:r>
          </w:p>
        </w:tc>
        <w:tc>
          <w:tcPr>
            <w:tcW w:w="6319" w:type="dxa"/>
            <w:vAlign w:val="center"/>
          </w:tcPr>
          <w:p w14:paraId="106610D0">
            <w:pPr>
              <w:pStyle w:val="48"/>
              <w:spacing w:line="360" w:lineRule="exact"/>
              <w:ind w:left="120" w:leftChars="57"/>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谈判文件的澄清</w:t>
            </w:r>
            <w:r>
              <w:rPr>
                <w:rFonts w:hint="eastAsia" w:ascii="仿宋_GB2312" w:hAnsi="仿宋_GB2312" w:eastAsia="仿宋_GB2312" w:cs="仿宋_GB2312"/>
                <w:color w:val="000000" w:themeColor="text1"/>
                <w:highlight w:val="none"/>
                <w14:textFill>
                  <w14:solidFill>
                    <w14:schemeClr w14:val="tx1"/>
                  </w14:solidFill>
                </w14:textFill>
              </w:rPr>
              <w:t>、修改书及有关补充通知为谈判文件的有效组成部分。</w:t>
            </w:r>
          </w:p>
        </w:tc>
      </w:tr>
      <w:tr w14:paraId="75E0457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08" w:hRule="exact"/>
          <w:jc w:val="center"/>
        </w:trPr>
        <w:tc>
          <w:tcPr>
            <w:tcW w:w="816" w:type="dxa"/>
            <w:vAlign w:val="center"/>
          </w:tcPr>
          <w:p w14:paraId="2ED8FBFC">
            <w:pPr>
              <w:pStyle w:val="48"/>
              <w:spacing w:line="360" w:lineRule="exact"/>
              <w:ind w:right="230"/>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1</w:t>
            </w:r>
            <w:r>
              <w:rPr>
                <w:rFonts w:hint="eastAsia" w:ascii="仿宋_GB2312" w:hAnsi="仿宋_GB2312" w:eastAsia="仿宋_GB2312" w:cs="仿宋_GB2312"/>
                <w:color w:val="000000" w:themeColor="text1"/>
                <w:highlight w:val="none"/>
                <w14:textFill>
                  <w14:solidFill>
                    <w14:schemeClr w14:val="tx1"/>
                  </w14:solidFill>
                </w14:textFill>
              </w:rPr>
              <w:t>5</w:t>
            </w:r>
          </w:p>
        </w:tc>
        <w:tc>
          <w:tcPr>
            <w:tcW w:w="2684" w:type="dxa"/>
            <w:vAlign w:val="center"/>
          </w:tcPr>
          <w:p w14:paraId="388D298D">
            <w:pPr>
              <w:pStyle w:val="48"/>
              <w:spacing w:line="360" w:lineRule="exact"/>
              <w:ind w:left="33"/>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谈判有效期</w:t>
            </w:r>
          </w:p>
          <w:p w14:paraId="621CFD42">
            <w:pPr>
              <w:pStyle w:val="48"/>
              <w:spacing w:line="360" w:lineRule="exact"/>
              <w:ind w:left="33"/>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b/>
                <w:color w:val="000000" w:themeColor="text1"/>
                <w:highlight w:val="none"/>
                <w14:textFill>
                  <w14:solidFill>
                    <w14:schemeClr w14:val="tx1"/>
                  </w14:solidFill>
                </w14:textFill>
              </w:rPr>
              <w:t>（实质性要求）</w:t>
            </w:r>
          </w:p>
        </w:tc>
        <w:tc>
          <w:tcPr>
            <w:tcW w:w="6319" w:type="dxa"/>
            <w:vAlign w:val="center"/>
          </w:tcPr>
          <w:p w14:paraId="59CB87C3">
            <w:pPr>
              <w:pStyle w:val="48"/>
              <w:spacing w:line="360" w:lineRule="exact"/>
              <w:ind w:firstLine="120" w:firstLineChars="50"/>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谈判后60天</w:t>
            </w:r>
          </w:p>
        </w:tc>
      </w:tr>
      <w:tr w14:paraId="79A8ECE8">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577" w:hRule="atLeast"/>
          <w:jc w:val="center"/>
        </w:trPr>
        <w:tc>
          <w:tcPr>
            <w:tcW w:w="816" w:type="dxa"/>
            <w:vAlign w:val="center"/>
          </w:tcPr>
          <w:p w14:paraId="51DDDAAB">
            <w:pPr>
              <w:pStyle w:val="48"/>
              <w:spacing w:line="360" w:lineRule="exact"/>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16</w:t>
            </w:r>
          </w:p>
        </w:tc>
        <w:tc>
          <w:tcPr>
            <w:tcW w:w="2684" w:type="dxa"/>
            <w:vAlign w:val="center"/>
          </w:tcPr>
          <w:p w14:paraId="18C86203">
            <w:pPr>
              <w:pStyle w:val="48"/>
              <w:spacing w:line="360" w:lineRule="exact"/>
              <w:ind w:left="33"/>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谈判保证金</w:t>
            </w:r>
          </w:p>
        </w:tc>
        <w:tc>
          <w:tcPr>
            <w:tcW w:w="6319" w:type="dxa"/>
            <w:vAlign w:val="center"/>
          </w:tcPr>
          <w:p w14:paraId="7B57514F">
            <w:pPr>
              <w:spacing w:line="360" w:lineRule="exac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无</w:t>
            </w:r>
          </w:p>
        </w:tc>
      </w:tr>
      <w:tr w14:paraId="0F6BCFF4">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61" w:hRule="atLeast"/>
          <w:jc w:val="center"/>
        </w:trPr>
        <w:tc>
          <w:tcPr>
            <w:tcW w:w="816" w:type="dxa"/>
            <w:vAlign w:val="center"/>
          </w:tcPr>
          <w:p w14:paraId="08DFB26C">
            <w:pPr>
              <w:pStyle w:val="48"/>
              <w:spacing w:line="360" w:lineRule="exact"/>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17</w:t>
            </w:r>
          </w:p>
        </w:tc>
        <w:tc>
          <w:tcPr>
            <w:tcW w:w="2684" w:type="dxa"/>
            <w:vAlign w:val="center"/>
          </w:tcPr>
          <w:p w14:paraId="1ABC85A5">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签字盖章</w:t>
            </w:r>
          </w:p>
        </w:tc>
        <w:tc>
          <w:tcPr>
            <w:tcW w:w="6319" w:type="dxa"/>
            <w:vAlign w:val="center"/>
          </w:tcPr>
          <w:p w14:paraId="4A56EEA3">
            <w:pPr>
              <w:pStyle w:val="48"/>
              <w:spacing w:line="360" w:lineRule="exact"/>
              <w:ind w:left="120" w:leftChars="57"/>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供应商必须按照谈判文件的规定和要求签字、盖章（法定代表人的签字可用具有法律效力的签字章）。</w:t>
            </w:r>
          </w:p>
        </w:tc>
      </w:tr>
      <w:tr w14:paraId="3E0DF763">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954" w:hRule="exact"/>
          <w:jc w:val="center"/>
        </w:trPr>
        <w:tc>
          <w:tcPr>
            <w:tcW w:w="816" w:type="dxa"/>
            <w:vAlign w:val="center"/>
          </w:tcPr>
          <w:p w14:paraId="62338593">
            <w:pPr>
              <w:pStyle w:val="48"/>
              <w:spacing w:line="360" w:lineRule="exact"/>
              <w:ind w:right="264"/>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18</w:t>
            </w:r>
          </w:p>
        </w:tc>
        <w:tc>
          <w:tcPr>
            <w:tcW w:w="2684" w:type="dxa"/>
            <w:vAlign w:val="center"/>
          </w:tcPr>
          <w:p w14:paraId="4694368D">
            <w:pPr>
              <w:pStyle w:val="48"/>
              <w:spacing w:line="360" w:lineRule="exact"/>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谈判时间和地点</w:t>
            </w:r>
          </w:p>
        </w:tc>
        <w:tc>
          <w:tcPr>
            <w:tcW w:w="6319" w:type="dxa"/>
            <w:vAlign w:val="center"/>
          </w:tcPr>
          <w:p w14:paraId="1E553B9C">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谈判时间：同递交响应文件截止时间。</w:t>
            </w:r>
          </w:p>
          <w:p w14:paraId="2E7E1C99">
            <w:pPr>
              <w:pStyle w:val="48"/>
              <w:spacing w:line="360" w:lineRule="exact"/>
              <w:ind w:firstLine="120" w:firstLineChars="50"/>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谈判地点：同递交响应文件地点。</w:t>
            </w:r>
          </w:p>
        </w:tc>
      </w:tr>
      <w:tr w14:paraId="34040909">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674" w:hRule="exact"/>
          <w:jc w:val="center"/>
        </w:trPr>
        <w:tc>
          <w:tcPr>
            <w:tcW w:w="816" w:type="dxa"/>
            <w:vAlign w:val="center"/>
          </w:tcPr>
          <w:p w14:paraId="6AF5B78B">
            <w:pPr>
              <w:pStyle w:val="48"/>
              <w:spacing w:line="360" w:lineRule="exact"/>
              <w:ind w:right="264"/>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19</w:t>
            </w:r>
          </w:p>
        </w:tc>
        <w:tc>
          <w:tcPr>
            <w:tcW w:w="2684" w:type="dxa"/>
            <w:vAlign w:val="center"/>
          </w:tcPr>
          <w:p w14:paraId="172F8C78">
            <w:pPr>
              <w:pStyle w:val="48"/>
              <w:spacing w:line="360" w:lineRule="exact"/>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履约保证金</w:t>
            </w:r>
          </w:p>
        </w:tc>
        <w:tc>
          <w:tcPr>
            <w:tcW w:w="6319" w:type="dxa"/>
            <w:vAlign w:val="center"/>
          </w:tcPr>
          <w:p w14:paraId="30E42818">
            <w:pPr>
              <w:pStyle w:val="48"/>
              <w:spacing w:line="360" w:lineRule="exact"/>
              <w:jc w:val="left"/>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无</w:t>
            </w:r>
          </w:p>
        </w:tc>
      </w:tr>
      <w:tr w14:paraId="37011BB3">
        <w:tblPrEx>
          <w:tblBorders>
            <w:top w:val="double" w:color="auto" w:sz="4" w:space="0"/>
            <w:left w:val="double" w:color="auto" w:sz="4" w:space="0"/>
            <w:bottom w:val="double" w:color="auto" w:sz="4" w:space="0"/>
            <w:right w:val="double" w:color="auto" w:sz="4" w:space="0"/>
            <w:insideH w:val="single" w:color="auto" w:sz="8" w:space="0"/>
            <w:insideV w:val="single" w:color="auto" w:sz="8" w:space="0"/>
          </w:tblBorders>
          <w:tblCellMar>
            <w:top w:w="0" w:type="dxa"/>
            <w:left w:w="0" w:type="dxa"/>
            <w:bottom w:w="0" w:type="dxa"/>
            <w:right w:w="0" w:type="dxa"/>
          </w:tblCellMar>
        </w:tblPrEx>
        <w:trPr>
          <w:trHeight w:val="1108" w:hRule="exact"/>
          <w:jc w:val="center"/>
        </w:trPr>
        <w:tc>
          <w:tcPr>
            <w:tcW w:w="816" w:type="dxa"/>
            <w:vAlign w:val="center"/>
          </w:tcPr>
          <w:p w14:paraId="49DAD587">
            <w:pPr>
              <w:pStyle w:val="48"/>
              <w:snapToGrid w:val="0"/>
              <w:ind w:right="230"/>
              <w:jc w:val="center"/>
              <w:rPr>
                <w:rFonts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20</w:t>
            </w:r>
          </w:p>
        </w:tc>
        <w:tc>
          <w:tcPr>
            <w:tcW w:w="2684" w:type="dxa"/>
            <w:vAlign w:val="center"/>
          </w:tcPr>
          <w:p w14:paraId="16DAD88D">
            <w:pPr>
              <w:pStyle w:val="48"/>
              <w:snapToGrid w:val="0"/>
              <w:ind w:left="96"/>
              <w:jc w:val="center"/>
              <w:rPr>
                <w:rFonts w:ascii="仿宋_GB2312" w:hAnsi="仿宋_GB2312" w:eastAsia="仿宋_GB2312" w:cs="仿宋_GB2312"/>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lang w:val="zh-CN"/>
                <w14:textFill>
                  <w14:solidFill>
                    <w14:schemeClr w14:val="tx1"/>
                  </w14:solidFill>
                </w14:textFill>
              </w:rPr>
              <w:t>响应文件的份数</w:t>
            </w:r>
            <w:r>
              <w:rPr>
                <w:rFonts w:hint="eastAsia" w:ascii="仿宋_GB2312" w:hAnsi="仿宋_GB2312" w:eastAsia="仿宋_GB2312" w:cs="仿宋_GB2312"/>
                <w:b/>
                <w:color w:val="000000" w:themeColor="text1"/>
                <w:highlight w:val="none"/>
                <w:lang w:val="zh-CN"/>
                <w14:textFill>
                  <w14:solidFill>
                    <w14:schemeClr w14:val="tx1"/>
                  </w14:solidFill>
                </w14:textFill>
              </w:rPr>
              <w:t>（实质性要求）</w:t>
            </w:r>
          </w:p>
        </w:tc>
        <w:tc>
          <w:tcPr>
            <w:tcW w:w="6319" w:type="dxa"/>
            <w:vAlign w:val="center"/>
          </w:tcPr>
          <w:p w14:paraId="4F0B2ECA">
            <w:pPr>
              <w:pStyle w:val="48"/>
              <w:snapToGrid w:val="0"/>
              <w:ind w:left="96"/>
              <w:rPr>
                <w:rFonts w:ascii="仿宋_GB2312" w:hAnsi="仿宋_GB2312" w:eastAsia="仿宋_GB2312" w:cs="仿宋_GB2312"/>
                <w:b/>
                <w:color w:val="000000" w:themeColor="text1"/>
                <w:highlight w:val="none"/>
                <w:lang w:val="zh-CN"/>
                <w14:textFill>
                  <w14:solidFill>
                    <w14:schemeClr w14:val="tx1"/>
                  </w14:solidFill>
                </w14:textFill>
              </w:rPr>
            </w:pPr>
            <w:r>
              <w:rPr>
                <w:rFonts w:hint="eastAsia" w:ascii="仿宋_GB2312" w:hAnsi="仿宋_GB2312" w:eastAsia="仿宋_GB2312" w:cs="仿宋_GB2312"/>
                <w:color w:val="000000" w:themeColor="text1"/>
                <w:highlight w:val="none"/>
                <w14:textFill>
                  <w14:solidFill>
                    <w14:schemeClr w14:val="tx1"/>
                  </w14:solidFill>
                </w14:textFill>
              </w:rPr>
              <w:t>响应文件一式</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三</w:t>
            </w:r>
            <w:r>
              <w:rPr>
                <w:rFonts w:hint="eastAsia" w:ascii="仿宋_GB2312" w:hAnsi="仿宋_GB2312" w:eastAsia="仿宋_GB2312" w:cs="仿宋_GB2312"/>
                <w:color w:val="000000" w:themeColor="text1"/>
                <w:highlight w:val="none"/>
                <w14:textFill>
                  <w14:solidFill>
                    <w14:schemeClr w14:val="tx1"/>
                  </w14:solidFill>
                </w14:textFill>
              </w:rPr>
              <w:t>份（正本壹份副本</w:t>
            </w:r>
            <w:r>
              <w:rPr>
                <w:rFonts w:hint="eastAsia" w:ascii="仿宋_GB2312" w:hAnsi="仿宋_GB2312" w:eastAsia="仿宋_GB2312" w:cs="仿宋_GB2312"/>
                <w:color w:val="000000" w:themeColor="text1"/>
                <w:highlight w:val="none"/>
                <w:lang w:val="en-US" w:eastAsia="zh-CN"/>
                <w14:textFill>
                  <w14:solidFill>
                    <w14:schemeClr w14:val="tx1"/>
                  </w14:solidFill>
                </w14:textFill>
              </w:rPr>
              <w:t>两</w:t>
            </w:r>
            <w:r>
              <w:rPr>
                <w:rFonts w:hint="eastAsia" w:ascii="仿宋_GB2312" w:hAnsi="仿宋_GB2312" w:eastAsia="仿宋_GB2312" w:cs="仿宋_GB2312"/>
                <w:color w:val="000000" w:themeColor="text1"/>
                <w:highlight w:val="none"/>
                <w14:textFill>
                  <w14:solidFill>
                    <w14:schemeClr w14:val="tx1"/>
                  </w14:solidFill>
                </w14:textFill>
              </w:rPr>
              <w:t>份）</w:t>
            </w:r>
          </w:p>
        </w:tc>
      </w:tr>
    </w:tbl>
    <w:p w14:paraId="55CFE713">
      <w:pPr>
        <w:widowControl/>
        <w:spacing w:line="360" w:lineRule="atLeast"/>
        <w:jc w:val="center"/>
        <w:outlineLvl w:val="0"/>
        <w:rPr>
          <w:rFonts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br w:type="page"/>
      </w:r>
      <w:bookmarkStart w:id="20" w:name="_Toc27374"/>
      <w:bookmarkStart w:id="21" w:name="_Toc14575"/>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第三部分 响应文件格式</w:t>
      </w:r>
      <w:bookmarkEnd w:id="20"/>
      <w:bookmarkEnd w:id="21"/>
      <w:bookmarkStart w:id="22" w:name="_Toc217446082"/>
      <w:bookmarkStart w:id="23" w:name="_Toc308164821"/>
    </w:p>
    <w:bookmarkEnd w:id="22"/>
    <w:bookmarkEnd w:id="23"/>
    <w:p w14:paraId="342D5D93">
      <w:pPr>
        <w:widowControl/>
        <w:spacing w:line="360" w:lineRule="atLeast"/>
        <w:outlineLvl w:val="1"/>
        <w:rPr>
          <w:rFonts w:ascii="仿宋_GB2312" w:hAnsi="仿宋_GB2312" w:eastAsia="仿宋_GB2312" w:cs="仿宋_GB2312"/>
          <w:b/>
          <w:color w:val="000000" w:themeColor="text1"/>
          <w:sz w:val="28"/>
          <w:szCs w:val="28"/>
          <w:highlight w:val="none"/>
          <w14:textFill>
            <w14:solidFill>
              <w14:schemeClr w14:val="tx1"/>
            </w14:solidFill>
          </w14:textFill>
        </w:rPr>
      </w:pPr>
      <w:bookmarkStart w:id="24" w:name="_Toc308164824"/>
      <w:bookmarkStart w:id="25" w:name="_Toc485047111"/>
    </w:p>
    <w:p w14:paraId="43229E67">
      <w:pPr>
        <w:spacing w:line="240" w:lineRule="auto"/>
        <w:jc w:val="right"/>
        <w:rPr>
          <w:rFonts w:ascii="仿宋_GB2312" w:hAnsi="仿宋_GB2312" w:eastAsia="仿宋_GB2312" w:cs="仿宋_GB2312"/>
          <w:color w:val="000000" w:themeColor="text1"/>
          <w:sz w:val="32"/>
          <w:szCs w:val="32"/>
          <w:highlight w:val="none"/>
          <w:u w:val="single"/>
          <w14:textFill>
            <w14:solidFill>
              <w14:schemeClr w14:val="tx1"/>
            </w14:solidFill>
          </w14:textFill>
        </w:rPr>
      </w:pPr>
      <w:bookmarkStart w:id="26" w:name="_Toc30615"/>
      <w:bookmarkStart w:id="27" w:name="_Toc992"/>
      <w:bookmarkStart w:id="28" w:name="_Toc18005"/>
      <w:r>
        <w:rPr>
          <w:rFonts w:hint="eastAsia" w:ascii="仿宋_GB2312" w:hAnsi="仿宋_GB2312" w:eastAsia="仿宋_GB2312" w:cs="仿宋_GB2312"/>
          <w:color w:val="000000" w:themeColor="text1"/>
          <w:sz w:val="32"/>
          <w:szCs w:val="32"/>
          <w:highlight w:val="none"/>
          <w14:textFill>
            <w14:solidFill>
              <w14:schemeClr w14:val="tx1"/>
            </w14:solidFill>
          </w14:textFill>
        </w:rPr>
        <w:t>正本</w:t>
      </w:r>
      <w:bookmarkEnd w:id="26"/>
      <w:bookmarkEnd w:id="27"/>
      <w:bookmarkEnd w:id="28"/>
      <w:r>
        <w:rPr>
          <w:rFonts w:hint="eastAsia" w:ascii="仿宋_GB2312" w:hAnsi="仿宋_GB2312" w:eastAsia="仿宋_GB2312" w:cs="仿宋_GB2312"/>
          <w:color w:val="000000" w:themeColor="text1"/>
          <w:sz w:val="32"/>
          <w:szCs w:val="32"/>
          <w:highlight w:val="none"/>
          <w14:textFill>
            <w14:solidFill>
              <w14:schemeClr w14:val="tx1"/>
            </w14:solidFill>
          </w14:textFill>
        </w:rPr>
        <w:t>/副本</w:t>
      </w:r>
    </w:p>
    <w:p w14:paraId="4608CD95">
      <w:pPr>
        <w:rPr>
          <w:rFonts w:ascii="仿宋_GB2312" w:hAnsi="仿宋_GB2312" w:eastAsia="仿宋_GB2312" w:cs="仿宋_GB2312"/>
          <w:color w:val="000000" w:themeColor="text1"/>
          <w:sz w:val="32"/>
          <w:szCs w:val="32"/>
          <w:highlight w:val="none"/>
          <w14:textFill>
            <w14:solidFill>
              <w14:schemeClr w14:val="tx1"/>
            </w14:solidFill>
          </w14:textFill>
        </w:rPr>
      </w:pPr>
    </w:p>
    <w:p w14:paraId="5BD5D8FB">
      <w:pPr>
        <w:spacing w:line="640" w:lineRule="exact"/>
        <w:jc w:val="center"/>
        <w:rPr>
          <w:rFonts w:hint="default" w:ascii="仿宋_GB2312" w:hAnsi="仿宋_GB2312" w:eastAsia="仿宋_GB2312" w:cs="仿宋_GB2312"/>
          <w:color w:val="000000" w:themeColor="text1"/>
          <w:sz w:val="48"/>
          <w:szCs w:val="48"/>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48"/>
          <w:szCs w:val="48"/>
          <w:highlight w:val="none"/>
          <w14:textFill>
            <w14:solidFill>
              <w14:schemeClr w14:val="tx1"/>
            </w14:solidFill>
          </w14:textFill>
        </w:rPr>
        <w:t>XX</w:t>
      </w:r>
      <w:r>
        <w:rPr>
          <w:rFonts w:hint="eastAsia" w:ascii="仿宋_GB2312" w:hAnsi="仿宋_GB2312" w:eastAsia="仿宋_GB2312" w:cs="仿宋_GB2312"/>
          <w:color w:val="000000" w:themeColor="text1"/>
          <w:sz w:val="48"/>
          <w:szCs w:val="48"/>
          <w:highlight w:val="none"/>
          <w:lang w:val="en-US" w:eastAsia="zh-CN"/>
          <w14:textFill>
            <w14:solidFill>
              <w14:schemeClr w14:val="tx1"/>
            </w14:solidFill>
          </w14:textFill>
        </w:rPr>
        <w:t>(项目名称）</w:t>
      </w:r>
    </w:p>
    <w:p w14:paraId="296ED77C">
      <w:pPr>
        <w:ind w:firstLine="1920" w:firstLineChars="600"/>
        <w:rPr>
          <w:rFonts w:ascii="仿宋_GB2312" w:hAnsi="仿宋_GB2312" w:eastAsia="仿宋_GB2312" w:cs="仿宋_GB2312"/>
          <w:color w:val="000000" w:themeColor="text1"/>
          <w:sz w:val="32"/>
          <w:szCs w:val="32"/>
          <w:highlight w:val="none"/>
          <w14:textFill>
            <w14:solidFill>
              <w14:schemeClr w14:val="tx1"/>
            </w14:solidFill>
          </w14:textFill>
        </w:rPr>
      </w:pPr>
      <w:bookmarkStart w:id="29" w:name="_Toc1259"/>
    </w:p>
    <w:p w14:paraId="625C3557">
      <w:pPr>
        <w:pStyle w:val="12"/>
        <w:numPr>
          <w:ilvl w:val="0"/>
          <w:numId w:val="0"/>
        </w:numPr>
        <w:rPr>
          <w:rFonts w:ascii="仿宋_GB2312" w:hAnsi="仿宋_GB2312" w:eastAsia="仿宋_GB2312" w:cs="仿宋_GB2312"/>
          <w:color w:val="000000" w:themeColor="text1"/>
          <w:sz w:val="32"/>
          <w:szCs w:val="32"/>
          <w:highlight w:val="none"/>
          <w14:textFill>
            <w14:solidFill>
              <w14:schemeClr w14:val="tx1"/>
            </w14:solidFill>
          </w14:textFill>
        </w:rPr>
      </w:pPr>
    </w:p>
    <w:p w14:paraId="582FADC1">
      <w:pPr>
        <w:spacing w:line="240" w:lineRule="auto"/>
        <w:jc w:val="center"/>
        <w:rPr>
          <w:rFonts w:ascii="仿宋_GB2312" w:hAnsi="仿宋_GB2312" w:eastAsia="仿宋_GB2312" w:cs="仿宋_GB2312"/>
          <w:color w:val="000000" w:themeColor="text1"/>
          <w:sz w:val="32"/>
          <w:szCs w:val="32"/>
          <w:highlight w:val="none"/>
          <w:u w:val="single"/>
          <w14:textFill>
            <w14:solidFill>
              <w14:schemeClr w14:val="tx1"/>
            </w14:solidFill>
          </w14:textFill>
        </w:rPr>
      </w:pPr>
      <w:bookmarkStart w:id="30" w:name="_Toc3299"/>
      <w:bookmarkStart w:id="31" w:name="_Toc21145"/>
      <w:r>
        <w:rPr>
          <w:rFonts w:hint="eastAsia" w:ascii="仿宋_GB2312" w:hAnsi="仿宋_GB2312" w:eastAsia="仿宋_GB2312" w:cs="仿宋_GB2312"/>
          <w:color w:val="000000" w:themeColor="text1"/>
          <w:sz w:val="32"/>
          <w:szCs w:val="32"/>
          <w:highlight w:val="none"/>
          <w14:textFill>
            <w14:solidFill>
              <w14:schemeClr w14:val="tx1"/>
            </w14:solidFill>
          </w14:textFill>
        </w:rPr>
        <w:t>采购编号：</w:t>
      </w:r>
      <w:bookmarkEnd w:id="29"/>
      <w:bookmarkEnd w:id="30"/>
      <w:bookmarkEnd w:id="31"/>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XXX</w:t>
      </w:r>
    </w:p>
    <w:p w14:paraId="36D7BECE">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3169ADEA">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6DEF8E07">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61CD3028">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096B03D3">
      <w:pPr>
        <w:spacing w:line="240" w:lineRule="auto"/>
        <w:jc w:val="center"/>
        <w:rPr>
          <w:rFonts w:ascii="仿宋_GB2312" w:hAnsi="仿宋_GB2312" w:eastAsia="仿宋_GB2312" w:cs="仿宋_GB2312"/>
          <w:color w:val="000000" w:themeColor="text1"/>
          <w:sz w:val="72"/>
          <w:szCs w:val="72"/>
          <w:highlight w:val="none"/>
          <w14:textFill>
            <w14:solidFill>
              <w14:schemeClr w14:val="tx1"/>
            </w14:solidFill>
          </w14:textFill>
        </w:rPr>
      </w:pPr>
      <w:r>
        <w:rPr>
          <w:rFonts w:hint="eastAsia" w:ascii="仿宋_GB2312" w:hAnsi="仿宋_GB2312" w:eastAsia="仿宋_GB2312" w:cs="仿宋_GB2312"/>
          <w:color w:val="000000" w:themeColor="text1"/>
          <w:sz w:val="72"/>
          <w:szCs w:val="72"/>
          <w:highlight w:val="none"/>
          <w14:textFill>
            <w14:solidFill>
              <w14:schemeClr w14:val="tx1"/>
            </w14:solidFill>
          </w14:textFill>
        </w:rPr>
        <w:t>响应文件</w:t>
      </w:r>
    </w:p>
    <w:p w14:paraId="3A3ACEAD">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05CC50FC">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1F379DAA">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2B9BEB06">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5A759CE8">
      <w:pPr>
        <w:spacing w:line="240" w:lineRule="auto"/>
        <w:rPr>
          <w:rFonts w:ascii="仿宋_GB2312" w:hAnsi="仿宋_GB2312" w:eastAsia="仿宋_GB2312" w:cs="仿宋_GB2312"/>
          <w:color w:val="000000" w:themeColor="text1"/>
          <w:sz w:val="32"/>
          <w:szCs w:val="32"/>
          <w:highlight w:val="none"/>
          <w14:textFill>
            <w14:solidFill>
              <w14:schemeClr w14:val="tx1"/>
            </w14:solidFill>
          </w14:textFill>
        </w:rPr>
      </w:pPr>
    </w:p>
    <w:p w14:paraId="52BC3E4D">
      <w:pPr>
        <w:spacing w:line="240" w:lineRule="auto"/>
        <w:jc w:val="center"/>
        <w:rPr>
          <w:rFonts w:ascii="仿宋_GB2312" w:hAnsi="仿宋_GB2312" w:eastAsia="仿宋_GB2312" w:cs="仿宋_GB2312"/>
          <w:color w:val="000000" w:themeColor="text1"/>
          <w:sz w:val="32"/>
          <w:szCs w:val="32"/>
          <w:highlight w:val="none"/>
          <w14:textFill>
            <w14:solidFill>
              <w14:schemeClr w14:val="tx1"/>
            </w14:solidFill>
          </w14:textFill>
        </w:rPr>
      </w:pPr>
      <w:bookmarkStart w:id="32" w:name="_Toc27720"/>
      <w:bookmarkStart w:id="33" w:name="_Toc24983"/>
      <w:bookmarkStart w:id="34" w:name="_Toc28398"/>
      <w:r>
        <w:rPr>
          <w:rFonts w:hint="eastAsia" w:ascii="仿宋_GB2312" w:hAnsi="仿宋_GB2312" w:eastAsia="仿宋_GB2312" w:cs="仿宋_GB2312"/>
          <w:color w:val="000000" w:themeColor="text1"/>
          <w:sz w:val="32"/>
          <w:szCs w:val="32"/>
          <w:highlight w:val="none"/>
          <w14:textFill>
            <w14:solidFill>
              <w14:schemeClr w14:val="tx1"/>
            </w14:solidFill>
          </w14:textFill>
        </w:rPr>
        <w:t>供应商：</w:t>
      </w:r>
      <w:bookmarkEnd w:id="32"/>
      <w:bookmarkEnd w:id="33"/>
      <w:bookmarkEnd w:id="34"/>
      <w:r>
        <w:rPr>
          <w:rFonts w:hint="eastAsia" w:ascii="仿宋_GB2312" w:hAnsi="仿宋_GB2312" w:eastAsia="仿宋_GB2312" w:cs="仿宋_GB2312"/>
          <w:color w:val="000000" w:themeColor="text1"/>
          <w:sz w:val="32"/>
          <w:szCs w:val="32"/>
          <w:highlight w:val="none"/>
          <w14:textFill>
            <w14:solidFill>
              <w14:schemeClr w14:val="tx1"/>
            </w14:solidFill>
          </w14:textFill>
        </w:rPr>
        <w:t>XXX公司</w:t>
      </w:r>
    </w:p>
    <w:p w14:paraId="35CBCAB7">
      <w:pPr>
        <w:widowControl/>
        <w:spacing w:line="360" w:lineRule="atLeast"/>
        <w:jc w:val="center"/>
        <w:outlineLvl w:val="1"/>
        <w:rPr>
          <w:rFonts w:ascii="仿宋_GB2312" w:hAnsi="仿宋_GB2312" w:eastAsia="仿宋_GB2312" w:cs="仿宋_GB2312"/>
          <w:b/>
          <w:color w:val="000000" w:themeColor="text1"/>
          <w:sz w:val="24"/>
          <w:highlight w:val="none"/>
          <w14:textFill>
            <w14:solidFill>
              <w14:schemeClr w14:val="tx1"/>
            </w14:solidFill>
          </w14:textFill>
        </w:rPr>
      </w:pPr>
      <w:bookmarkStart w:id="35" w:name="_Toc16923"/>
      <w:bookmarkStart w:id="36" w:name="_Toc361"/>
      <w:bookmarkStart w:id="37" w:name="_Toc6188"/>
      <w:r>
        <w:rPr>
          <w:rFonts w:hint="eastAsia" w:ascii="仿宋_GB2312" w:hAnsi="仿宋_GB2312" w:eastAsia="仿宋_GB2312" w:cs="仿宋_GB2312"/>
          <w:color w:val="000000" w:themeColor="text1"/>
          <w:sz w:val="32"/>
          <w:szCs w:val="32"/>
          <w:highlight w:val="none"/>
          <w14:textFill>
            <w14:solidFill>
              <w14:schemeClr w14:val="tx1"/>
            </w14:solidFill>
          </w14:textFill>
        </w:rPr>
        <w:t>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highlight w:val="none"/>
          <w14:textFill>
            <w14:solidFill>
              <w14:schemeClr w14:val="tx1"/>
            </w14:solidFill>
          </w14:textFill>
        </w:rPr>
        <w:t>年X月</w:t>
      </w:r>
      <w:r>
        <w:rPr>
          <w:rFonts w:hint="eastAsia" w:ascii="仿宋_GB2312" w:hAnsi="仿宋_GB2312" w:eastAsia="仿宋_GB2312" w:cs="仿宋_GB2312"/>
          <w:b/>
          <w:color w:val="000000" w:themeColor="text1"/>
          <w:sz w:val="28"/>
          <w:szCs w:val="28"/>
          <w:highlight w:val="none"/>
          <w14:textFill>
            <w14:solidFill>
              <w14:schemeClr w14:val="tx1"/>
            </w14:solidFill>
          </w14:textFill>
        </w:rPr>
        <w:br w:type="page"/>
      </w:r>
      <w:r>
        <w:rPr>
          <w:rFonts w:hint="eastAsia" w:ascii="仿宋_GB2312" w:hAnsi="仿宋_GB2312" w:eastAsia="仿宋_GB2312" w:cs="仿宋_GB2312"/>
          <w:b/>
          <w:color w:val="000000" w:themeColor="text1"/>
          <w:sz w:val="28"/>
          <w:szCs w:val="28"/>
          <w:highlight w:val="none"/>
          <w14:textFill>
            <w14:solidFill>
              <w14:schemeClr w14:val="tx1"/>
            </w14:solidFill>
          </w14:textFill>
        </w:rPr>
        <w:t>一、</w:t>
      </w:r>
      <w:bookmarkEnd w:id="24"/>
      <w:r>
        <w:rPr>
          <w:rFonts w:hint="eastAsia" w:ascii="仿宋_GB2312" w:hAnsi="仿宋_GB2312" w:eastAsia="仿宋_GB2312" w:cs="仿宋_GB2312"/>
          <w:b/>
          <w:color w:val="000000" w:themeColor="text1"/>
          <w:sz w:val="28"/>
          <w:szCs w:val="28"/>
          <w:highlight w:val="none"/>
          <w14:textFill>
            <w14:solidFill>
              <w14:schemeClr w14:val="tx1"/>
            </w14:solidFill>
          </w14:textFill>
        </w:rPr>
        <w:t>承诺函</w:t>
      </w:r>
      <w:bookmarkEnd w:id="25"/>
      <w:bookmarkEnd w:id="35"/>
      <w:bookmarkEnd w:id="36"/>
      <w:bookmarkEnd w:id="37"/>
    </w:p>
    <w:p w14:paraId="72D38363">
      <w:pPr>
        <w:widowControl/>
        <w:spacing w:line="360" w:lineRule="atLeast"/>
        <w:jc w:val="left"/>
        <w:rPr>
          <w:rFonts w:ascii="仿宋_GB2312" w:hAnsi="仿宋_GB2312" w:eastAsia="仿宋_GB2312" w:cs="仿宋_GB2312"/>
          <w:color w:val="000000" w:themeColor="text1"/>
          <w:sz w:val="24"/>
          <w:highlight w:val="none"/>
          <w14:textFill>
            <w14:solidFill>
              <w14:schemeClr w14:val="tx1"/>
            </w14:solidFill>
          </w14:textFill>
        </w:rPr>
      </w:pPr>
      <w:bookmarkStart w:id="38" w:name="_Toc485047112"/>
      <w:r>
        <w:rPr>
          <w:rFonts w:hint="eastAsia" w:ascii="仿宋_GB2312" w:hAnsi="仿宋_GB2312" w:eastAsia="仿宋_GB2312" w:cs="仿宋_GB2312"/>
          <w:color w:val="000000" w:themeColor="text1"/>
          <w:sz w:val="24"/>
          <w:highlight w:val="none"/>
          <w14:textFill>
            <w14:solidFill>
              <w14:schemeClr w14:val="tx1"/>
            </w14:solidFill>
          </w14:textFill>
        </w:rPr>
        <w:t>隆昌市润泰建设工程有限公司：</w:t>
      </w:r>
      <w:bookmarkEnd w:id="38"/>
    </w:p>
    <w:p w14:paraId="2B11C030">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39" w:name="_Toc485047113"/>
      <w:r>
        <w:rPr>
          <w:rFonts w:hint="eastAsia" w:ascii="仿宋_GB2312" w:hAnsi="仿宋_GB2312" w:eastAsia="仿宋_GB2312" w:cs="仿宋_GB2312"/>
          <w:color w:val="000000" w:themeColor="text1"/>
          <w:sz w:val="24"/>
          <w:highlight w:val="none"/>
          <w14:textFill>
            <w14:solidFill>
              <w14:schemeClr w14:val="tx1"/>
            </w14:solidFill>
          </w14:textFill>
        </w:rPr>
        <w:t>我公司作为本次采购项目的供应商，根据谈判文件要求，现郑重承诺如下：</w:t>
      </w:r>
      <w:bookmarkEnd w:id="39"/>
    </w:p>
    <w:p w14:paraId="42852E4C">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0" w:name="_Toc485047118"/>
      <w:r>
        <w:rPr>
          <w:rFonts w:hint="eastAsia" w:ascii="仿宋_GB2312" w:hAnsi="仿宋_GB2312" w:eastAsia="仿宋_GB2312" w:cs="仿宋_GB2312"/>
          <w:color w:val="000000" w:themeColor="text1"/>
          <w:sz w:val="24"/>
          <w:highlight w:val="none"/>
          <w14:textFill>
            <w14:solidFill>
              <w14:schemeClr w14:val="tx1"/>
            </w14:solidFill>
          </w14:textFill>
        </w:rPr>
        <w:t>一、完全接受和满足本项目谈判文件中规定的实质性要求，如对谈判文件有异议，已经在投标截止时间届满前依法进行维权救济，不存在对谈判文件有异议的同时又参加投标以求侥幸中标或者为实现其他非法目的的行为。</w:t>
      </w:r>
      <w:bookmarkEnd w:id="40"/>
    </w:p>
    <w:p w14:paraId="5F63419D">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二、我公司完全满足本项目资格要求：</w:t>
      </w:r>
    </w:p>
    <w:p w14:paraId="4B78DE8B">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1" w:name="_Toc485047119"/>
      <w:r>
        <w:rPr>
          <w:rFonts w:hint="eastAsia" w:ascii="仿宋_GB2312" w:hAnsi="仿宋_GB2312" w:eastAsia="仿宋_GB2312" w:cs="仿宋_GB2312"/>
          <w:color w:val="000000" w:themeColor="text1"/>
          <w:sz w:val="24"/>
          <w:highlight w:val="none"/>
          <w14:textFill>
            <w14:solidFill>
              <w14:schemeClr w14:val="tx1"/>
            </w14:solidFill>
          </w14:textFill>
        </w:rPr>
        <w:t>1、具有独立承担民事责任的能力；</w:t>
      </w:r>
    </w:p>
    <w:p w14:paraId="1A093099">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2、具有良好的商业信誉和健全的财务会计制度；</w:t>
      </w:r>
    </w:p>
    <w:p w14:paraId="64353204">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3、具有履行合同所必须的设备和专业技术能力；</w:t>
      </w:r>
    </w:p>
    <w:p w14:paraId="33B735AC">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4、具有依法缴纳税收和社会保障资金的良好记录；</w:t>
      </w:r>
    </w:p>
    <w:p w14:paraId="04631EDB">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5、参加本次采购活动前三年内，在经营活动中没有重大违法违规记录；</w:t>
      </w:r>
    </w:p>
    <w:p w14:paraId="40B55C7B">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6、法律、行政法规规定的其他条件；</w:t>
      </w:r>
    </w:p>
    <w:p w14:paraId="3423CB8F">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7、单位负责人为同一人或者存在直接控股、管理关系的不同供应商，不得参加同一合同项下的采购活动；</w:t>
      </w:r>
    </w:p>
    <w:p w14:paraId="03E89440">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8、供应商单位及其现任法定代表人、主要负责人参加本次采购活动前三年内不得具有行贿犯罪记录；</w:t>
      </w:r>
    </w:p>
    <w:bookmarkEnd w:id="41"/>
    <w:p w14:paraId="416312F1">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14:textFill>
            <w14:solidFill>
              <w14:schemeClr w14:val="tx1"/>
            </w14:solidFill>
          </w14:textFill>
        </w:rPr>
      </w:pPr>
      <w:bookmarkStart w:id="42" w:name="_Toc485047120"/>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9</w:t>
      </w:r>
      <w:r>
        <w:rPr>
          <w:rFonts w:hint="eastAsia" w:ascii="仿宋_GB2312" w:hAnsi="仿宋_GB2312" w:eastAsia="仿宋_GB2312" w:cs="仿宋_GB2312"/>
          <w:color w:val="000000" w:themeColor="text1"/>
          <w:sz w:val="24"/>
          <w:highlight w:val="none"/>
          <w14:textFill>
            <w14:solidFill>
              <w14:schemeClr w14:val="tx1"/>
            </w14:solidFill>
          </w14:textFill>
        </w:rPr>
        <w:t>、本项目不允许联合体参加谈判。</w:t>
      </w:r>
    </w:p>
    <w:p w14:paraId="468AFF07">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4"/>
          <w:highlight w:val="none"/>
          <w14:textFill>
            <w14:solidFill>
              <w14:schemeClr w14:val="tx1"/>
            </w14:solidFill>
          </w14:textFill>
        </w:rPr>
        <w:t>、中华人民共和国境内（不含香港、澳门、台湾地区）法律上和财务上独立的法人或依法登记注册的组织，合法运作并独立于采购人和招标代理机构。</w:t>
      </w:r>
    </w:p>
    <w:p w14:paraId="0B9AE30C">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11</w:t>
      </w:r>
      <w:r>
        <w:rPr>
          <w:rFonts w:hint="eastAsia" w:ascii="仿宋_GB2312" w:hAnsi="仿宋_GB2312" w:eastAsia="仿宋_GB2312" w:cs="仿宋_GB2312"/>
          <w:color w:val="000000" w:themeColor="text1"/>
          <w:sz w:val="24"/>
          <w:highlight w:val="none"/>
          <w14:textFill>
            <w14:solidFill>
              <w14:schemeClr w14:val="tx1"/>
            </w14:solidFill>
          </w14:textFill>
        </w:rPr>
        <w:t>、具备银保监等有权机构颁发的保险业务许可证。</w:t>
      </w:r>
    </w:p>
    <w:p w14:paraId="65ACAEED">
      <w:pPr>
        <w:widowControl/>
        <w:spacing w:line="360" w:lineRule="atLeast"/>
        <w:ind w:firstLine="480" w:firstLineChars="200"/>
        <w:jc w:val="left"/>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24"/>
          <w:highlight w:val="none"/>
          <w14:textFill>
            <w14:solidFill>
              <w14:schemeClr w14:val="tx1"/>
            </w14:solidFill>
          </w14:textFill>
        </w:rPr>
        <w:t>、具有应答产品的证明材料</w:t>
      </w:r>
      <w:r>
        <w:rPr>
          <w:rFonts w:hint="eastAsia" w:ascii="仿宋_GB2312" w:hAnsi="仿宋_GB2312" w:eastAsia="仿宋_GB2312" w:cs="仿宋_GB2312"/>
          <w:color w:val="000000" w:themeColor="text1"/>
          <w:sz w:val="24"/>
          <w:highlight w:val="none"/>
          <w:lang w:eastAsia="zh-CN"/>
          <w14:textFill>
            <w14:solidFill>
              <w14:schemeClr w14:val="tx1"/>
            </w14:solidFill>
          </w14:textFill>
        </w:rPr>
        <w:t>。</w:t>
      </w:r>
    </w:p>
    <w:p w14:paraId="195D16D6">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三、</w:t>
      </w:r>
      <w:bookmarkEnd w:id="42"/>
      <w:r>
        <w:rPr>
          <w:rStyle w:val="78"/>
          <w:rFonts w:hint="eastAsia" w:ascii="仿宋_GB2312" w:hAnsi="仿宋_GB2312" w:eastAsia="仿宋_GB2312"/>
          <w:color w:val="000000" w:themeColor="text1"/>
          <w:kern w:val="0"/>
          <w:sz w:val="24"/>
          <w:highlight w:val="none"/>
          <w14:textFill>
            <w14:solidFill>
              <w14:schemeClr w14:val="tx1"/>
            </w14:solidFill>
          </w14:textFill>
        </w:rPr>
        <w:t>谈判</w:t>
      </w:r>
      <w:r>
        <w:rPr>
          <w:rStyle w:val="78"/>
          <w:rFonts w:ascii="仿宋_GB2312" w:hAnsi="仿宋_GB2312" w:eastAsia="仿宋_GB2312"/>
          <w:color w:val="000000" w:themeColor="text1"/>
          <w:kern w:val="0"/>
          <w:sz w:val="24"/>
          <w:highlight w:val="none"/>
          <w14:textFill>
            <w14:solidFill>
              <w14:schemeClr w14:val="tx1"/>
            </w14:solidFill>
          </w14:textFill>
        </w:rPr>
        <w:t>有效期为</w:t>
      </w:r>
      <w:r>
        <w:rPr>
          <w:rStyle w:val="78"/>
          <w:rFonts w:hint="eastAsia" w:ascii="仿宋_GB2312" w:hAnsi="仿宋_GB2312" w:eastAsia="仿宋_GB2312"/>
          <w:color w:val="000000" w:themeColor="text1"/>
          <w:kern w:val="0"/>
          <w:sz w:val="24"/>
          <w:highlight w:val="none"/>
          <w14:textFill>
            <w14:solidFill>
              <w14:schemeClr w14:val="tx1"/>
            </w14:solidFill>
          </w14:textFill>
        </w:rPr>
        <w:t>谈判</w:t>
      </w:r>
      <w:r>
        <w:rPr>
          <w:rStyle w:val="78"/>
          <w:rFonts w:ascii="仿宋_GB2312" w:hAnsi="仿宋_GB2312" w:eastAsia="仿宋_GB2312"/>
          <w:color w:val="000000" w:themeColor="text1"/>
          <w:kern w:val="0"/>
          <w:sz w:val="24"/>
          <w:highlight w:val="none"/>
          <w14:textFill>
            <w14:solidFill>
              <w14:schemeClr w14:val="tx1"/>
            </w14:solidFill>
          </w14:textFill>
        </w:rPr>
        <w:t>后</w:t>
      </w:r>
      <w:r>
        <w:rPr>
          <w:rStyle w:val="78"/>
          <w:rFonts w:ascii="仿宋_GB2312" w:hAnsi="仿宋_GB2312" w:eastAsia="仿宋_GB2312"/>
          <w:b/>
          <w:color w:val="000000" w:themeColor="text1"/>
          <w:kern w:val="0"/>
          <w:sz w:val="24"/>
          <w:highlight w:val="none"/>
          <w14:textFill>
            <w14:solidFill>
              <w14:schemeClr w14:val="tx1"/>
            </w14:solidFill>
          </w14:textFill>
        </w:rPr>
        <w:t>60</w:t>
      </w:r>
      <w:r>
        <w:rPr>
          <w:rStyle w:val="78"/>
          <w:rFonts w:ascii="仿宋_GB2312" w:hAnsi="仿宋_GB2312" w:eastAsia="仿宋_GB2312"/>
          <w:color w:val="000000" w:themeColor="text1"/>
          <w:kern w:val="0"/>
          <w:sz w:val="24"/>
          <w:highlight w:val="none"/>
          <w14:textFill>
            <w14:solidFill>
              <w14:schemeClr w14:val="tx1"/>
            </w14:solidFill>
          </w14:textFill>
        </w:rPr>
        <w:t>天，我公司同意所递交的响应文件及其修改，澄清等相关文件在</w:t>
      </w:r>
      <w:r>
        <w:rPr>
          <w:rStyle w:val="78"/>
          <w:rFonts w:ascii="仿宋_GB2312" w:hAnsi="仿宋_GB2312" w:eastAsia="仿宋_GB2312"/>
          <w:b/>
          <w:color w:val="000000" w:themeColor="text1"/>
          <w:kern w:val="0"/>
          <w:sz w:val="24"/>
          <w:highlight w:val="none"/>
          <w14:textFill>
            <w14:solidFill>
              <w14:schemeClr w14:val="tx1"/>
            </w14:solidFill>
          </w14:textFill>
        </w:rPr>
        <w:t>60</w:t>
      </w:r>
      <w:r>
        <w:rPr>
          <w:rStyle w:val="78"/>
          <w:rFonts w:ascii="仿宋_GB2312" w:hAnsi="仿宋_GB2312" w:eastAsia="仿宋_GB2312"/>
          <w:color w:val="000000" w:themeColor="text1"/>
          <w:kern w:val="0"/>
          <w:sz w:val="24"/>
          <w:highlight w:val="none"/>
          <w14:textFill>
            <w14:solidFill>
              <w14:schemeClr w14:val="tx1"/>
            </w14:solidFill>
          </w14:textFill>
        </w:rPr>
        <w:t>天的</w:t>
      </w:r>
      <w:r>
        <w:rPr>
          <w:rStyle w:val="78"/>
          <w:rFonts w:hint="eastAsia" w:ascii="仿宋_GB2312" w:hAnsi="仿宋_GB2312" w:eastAsia="仿宋_GB2312"/>
          <w:color w:val="000000" w:themeColor="text1"/>
          <w:kern w:val="0"/>
          <w:sz w:val="24"/>
          <w:highlight w:val="none"/>
          <w14:textFill>
            <w14:solidFill>
              <w14:schemeClr w14:val="tx1"/>
            </w14:solidFill>
          </w14:textFill>
        </w:rPr>
        <w:t>谈判</w:t>
      </w:r>
      <w:r>
        <w:rPr>
          <w:rStyle w:val="78"/>
          <w:rFonts w:ascii="仿宋_GB2312" w:hAnsi="仿宋_GB2312" w:eastAsia="仿宋_GB2312"/>
          <w:color w:val="000000" w:themeColor="text1"/>
          <w:kern w:val="0"/>
          <w:sz w:val="24"/>
          <w:highlight w:val="none"/>
          <w14:textFill>
            <w14:solidFill>
              <w14:schemeClr w14:val="tx1"/>
            </w14:solidFill>
          </w14:textFill>
        </w:rPr>
        <w:t>有效期内有效，在此期间内我公司将受此约束。</w:t>
      </w:r>
    </w:p>
    <w:p w14:paraId="21EADAC2">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3" w:name="_Toc485047121"/>
      <w:r>
        <w:rPr>
          <w:rFonts w:hint="eastAsia" w:ascii="仿宋_GB2312" w:hAnsi="仿宋_GB2312" w:eastAsia="仿宋_GB2312" w:cs="仿宋_GB2312"/>
          <w:color w:val="000000" w:themeColor="text1"/>
          <w:sz w:val="24"/>
          <w:highlight w:val="none"/>
          <w14:textFill>
            <w14:solidFill>
              <w14:schemeClr w14:val="tx1"/>
            </w14:solidFill>
          </w14:textFill>
        </w:rPr>
        <w:t>四、</w:t>
      </w:r>
      <w:bookmarkEnd w:id="43"/>
      <w:r>
        <w:rPr>
          <w:rFonts w:hint="eastAsia" w:ascii="仿宋_GB2312" w:hAnsi="仿宋_GB2312" w:eastAsia="仿宋_GB2312" w:cs="仿宋_GB2312"/>
          <w:color w:val="000000" w:themeColor="text1"/>
          <w:sz w:val="24"/>
          <w:highlight w:val="none"/>
          <w14:textFill>
            <w14:solidFill>
              <w14:schemeClr w14:val="tx1"/>
            </w14:solidFill>
          </w14:textFill>
        </w:rPr>
        <w:t>完全响应谈判文件有关知识产权，充分、公平竞争保障措施，报价货币，响应文件语言等方面的规定。</w:t>
      </w:r>
    </w:p>
    <w:p w14:paraId="270BA12F">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五、没有为本次采购项目提供整体设计、规范编制或者项目管理、监理、检测等服务，也没有为采购人、采购代理机构在确定采购需求、编制采购文件过程中提供咨询论证，提供的咨询论证意见成为采购文件中规定的供应商资格条件、技术服务商务要求、评审因素和标准、采购合同等实质性内容条款。</w:t>
      </w:r>
    </w:p>
    <w:p w14:paraId="2A3B4287">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4" w:name="_Toc485047122"/>
      <w:r>
        <w:rPr>
          <w:rFonts w:hint="eastAsia" w:ascii="仿宋_GB2312" w:hAnsi="仿宋_GB2312" w:eastAsia="仿宋_GB2312" w:cs="仿宋_GB2312"/>
          <w:color w:val="000000" w:themeColor="text1"/>
          <w:sz w:val="24"/>
          <w:highlight w:val="none"/>
          <w14:textFill>
            <w14:solidFill>
              <w14:schemeClr w14:val="tx1"/>
            </w14:solidFill>
          </w14:textFill>
        </w:rPr>
        <w:t>六、响应文件中提供的能够给予我公司带来优惠、好处的任何材料资料和技术、服务、商务等响应承诺情况都是真实的、有效的、合法的。</w:t>
      </w:r>
      <w:bookmarkEnd w:id="44"/>
    </w:p>
    <w:p w14:paraId="56B5A887">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七、供应商根据谈判文件要求或供应商认为应当做出的其他承诺。</w:t>
      </w:r>
    </w:p>
    <w:p w14:paraId="554A9D79">
      <w:pPr>
        <w:widowControl/>
        <w:spacing w:line="360" w:lineRule="atLeast"/>
        <w:ind w:firstLine="480" w:firstLineChars="200"/>
        <w:jc w:val="left"/>
        <w:rPr>
          <w:rFonts w:ascii="仿宋_GB2312" w:hAnsi="仿宋_GB2312" w:eastAsia="仿宋_GB2312" w:cs="仿宋_GB2312"/>
          <w:color w:val="000000" w:themeColor="text1"/>
          <w:sz w:val="24"/>
          <w:highlight w:val="none"/>
          <w14:textFill>
            <w14:solidFill>
              <w14:schemeClr w14:val="tx1"/>
            </w14:solidFill>
          </w14:textFill>
        </w:rPr>
      </w:pPr>
      <w:bookmarkStart w:id="45" w:name="_Toc485047124"/>
      <w:r>
        <w:rPr>
          <w:rFonts w:hint="eastAsia" w:ascii="仿宋_GB2312" w:hAnsi="仿宋_GB2312" w:eastAsia="仿宋_GB2312" w:cs="仿宋_GB2312"/>
          <w:color w:val="000000" w:themeColor="text1"/>
          <w:sz w:val="24"/>
          <w:highlight w:val="none"/>
          <w14:textFill>
            <w14:solidFill>
              <w14:schemeClr w14:val="tx1"/>
            </w14:solidFill>
          </w14:textFill>
        </w:rPr>
        <w:t>本公司对上述承诺的内容事项真实性负责。如经查实上述承诺的内容事项存在虚假，我公司愿意接受以提供虚假材料谋取中标追究法律责任。</w:t>
      </w:r>
      <w:bookmarkEnd w:id="45"/>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14:paraId="2796ACA6">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46" w:name="_Toc485047125"/>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供应商名称：XXXX（单位公章）。</w:t>
      </w:r>
      <w:bookmarkEnd w:id="46"/>
    </w:p>
    <w:p w14:paraId="0A3C5946">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47" w:name="_Toc485047126"/>
      <w:r>
        <w:rPr>
          <w:rFonts w:hint="eastAsia" w:ascii="仿宋_GB2312" w:hAnsi="仿宋_GB2312" w:eastAsia="仿宋_GB2312" w:cs="仿宋_GB2312"/>
          <w:color w:val="000000" w:themeColor="text1"/>
          <w:sz w:val="24"/>
          <w:highlight w:val="none"/>
          <w14:textFill>
            <w14:solidFill>
              <w14:schemeClr w14:val="tx1"/>
            </w14:solidFill>
          </w14:textFill>
        </w:rPr>
        <w:t>法定代表人或授权代表（签字或加盖个人名章）：XXXX。</w:t>
      </w:r>
      <w:bookmarkEnd w:id="47"/>
    </w:p>
    <w:p w14:paraId="20D23C90">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48" w:name="_Toc485047127"/>
      <w:r>
        <w:rPr>
          <w:rFonts w:hint="eastAsia" w:ascii="仿宋_GB2312" w:hAnsi="仿宋_GB2312" w:eastAsia="仿宋_GB2312" w:cs="仿宋_GB2312"/>
          <w:color w:val="000000" w:themeColor="text1"/>
          <w:sz w:val="24"/>
          <w:highlight w:val="none"/>
          <w14:textFill>
            <w14:solidFill>
              <w14:schemeClr w14:val="tx1"/>
            </w14:solidFill>
          </w14:textFill>
        </w:rPr>
        <w:t>日    期：XXXX。</w:t>
      </w:r>
      <w:bookmarkEnd w:id="48"/>
    </w:p>
    <w:p w14:paraId="2ACB6BD3">
      <w:pPr>
        <w:pStyle w:val="4"/>
        <w:jc w:val="center"/>
        <w:rPr>
          <w:rFonts w:ascii="仿宋_GB2312" w:hAnsi="仿宋_GB2312" w:eastAsia="仿宋_GB2312" w:cs="仿宋_GB2312"/>
          <w:bCs w:val="0"/>
          <w:color w:val="000000" w:themeColor="text1"/>
          <w:kern w:val="2"/>
          <w:sz w:val="28"/>
          <w:szCs w:val="28"/>
          <w:highlight w:val="none"/>
          <w14:textFill>
            <w14:solidFill>
              <w14:schemeClr w14:val="tx1"/>
            </w14:solidFill>
          </w14:textFill>
        </w:rPr>
      </w:pPr>
      <w:bookmarkStart w:id="49" w:name="_Toc19816"/>
      <w:bookmarkStart w:id="50" w:name="_Toc28804"/>
      <w:r>
        <w:rPr>
          <w:rFonts w:hint="eastAsia" w:ascii="仿宋_GB2312" w:hAnsi="仿宋_GB2312" w:eastAsia="仿宋_GB2312" w:cs="仿宋_GB2312"/>
          <w:bCs w:val="0"/>
          <w:color w:val="000000" w:themeColor="text1"/>
          <w:kern w:val="2"/>
          <w:sz w:val="28"/>
          <w:szCs w:val="28"/>
          <w:highlight w:val="none"/>
          <w14:textFill>
            <w14:solidFill>
              <w14:schemeClr w14:val="tx1"/>
            </w14:solidFill>
          </w14:textFill>
        </w:rPr>
        <w:t>二、营业执照复印件</w:t>
      </w:r>
      <w:bookmarkEnd w:id="49"/>
      <w:bookmarkEnd w:id="50"/>
    </w:p>
    <w:p w14:paraId="3FFFB4D2">
      <w:pPr>
        <w:pStyle w:val="4"/>
        <w:rPr>
          <w:rFonts w:ascii="仿宋_GB2312" w:hAnsi="仿宋_GB2312" w:eastAsia="仿宋_GB2312" w:cs="仿宋_GB2312"/>
          <w:bCs w:val="0"/>
          <w:color w:val="000000" w:themeColor="text1"/>
          <w:kern w:val="2"/>
          <w:sz w:val="28"/>
          <w:szCs w:val="28"/>
          <w:highlight w:val="none"/>
          <w14:textFill>
            <w14:solidFill>
              <w14:schemeClr w14:val="tx1"/>
            </w14:solidFill>
          </w14:textFill>
        </w:rPr>
      </w:pPr>
    </w:p>
    <w:p w14:paraId="5965DCD7">
      <w:pPr>
        <w:widowControl/>
        <w:spacing w:line="360" w:lineRule="atLeast"/>
        <w:rPr>
          <w:rFonts w:ascii="仿宋_GB2312" w:hAnsi="仿宋_GB2312" w:eastAsia="仿宋_GB2312" w:cs="仿宋_GB2312"/>
          <w:b/>
          <w:color w:val="000000" w:themeColor="text1"/>
          <w:sz w:val="24"/>
          <w:highlight w:val="none"/>
          <w14:textFill>
            <w14:solidFill>
              <w14:schemeClr w14:val="tx1"/>
            </w14:solidFill>
          </w14:textFill>
        </w:rPr>
      </w:pPr>
    </w:p>
    <w:p w14:paraId="5895DD7D">
      <w:pPr>
        <w:pStyle w:val="4"/>
        <w:jc w:val="center"/>
        <w:rPr>
          <w:rFonts w:hint="default" w:ascii="仿宋_GB2312" w:hAnsi="仿宋_GB2312" w:eastAsia="仿宋_GB2312" w:cs="仿宋_GB2312"/>
          <w:b/>
          <w:bCs w:val="0"/>
          <w:color w:val="000000" w:themeColor="text1"/>
          <w:kern w:val="2"/>
          <w:sz w:val="28"/>
          <w:szCs w:val="28"/>
          <w:highlight w:val="none"/>
          <w:lang w:val="en-US" w:eastAsia="zh-CN" w:bidi="ar-SA"/>
          <w14:textFill>
            <w14:solidFill>
              <w14:schemeClr w14:val="tx1"/>
            </w14:solidFill>
          </w14:textFill>
        </w:rPr>
      </w:pPr>
      <w:bookmarkStart w:id="51" w:name="_Toc485047128"/>
      <w:bookmarkStart w:id="52" w:name="_Toc28081"/>
      <w:r>
        <w:rPr>
          <w:rFonts w:hint="eastAsia" w:ascii="仿宋_GB2312" w:hAnsi="仿宋_GB2312" w:eastAsia="仿宋_GB2312" w:cs="仿宋_GB2312"/>
          <w:b/>
          <w:color w:val="000000" w:themeColor="text1"/>
          <w:sz w:val="28"/>
          <w:szCs w:val="28"/>
          <w:highlight w:val="none"/>
          <w14:textFill>
            <w14:solidFill>
              <w14:schemeClr w14:val="tx1"/>
            </w14:solidFill>
          </w14:textFill>
        </w:rPr>
        <w:br w:type="page"/>
      </w:r>
      <w:bookmarkStart w:id="53" w:name="_Toc19018"/>
      <w:r>
        <w:rPr>
          <w:rFonts w:hint="eastAsia" w:ascii="仿宋_GB2312" w:hAnsi="仿宋_GB2312" w:eastAsia="仿宋_GB2312" w:cs="仿宋_GB2312"/>
          <w:b/>
          <w:bCs w:val="0"/>
          <w:color w:val="000000" w:themeColor="text1"/>
          <w:kern w:val="2"/>
          <w:sz w:val="28"/>
          <w:szCs w:val="28"/>
          <w:highlight w:val="none"/>
          <w:lang w:val="en-US" w:eastAsia="zh-CN" w:bidi="ar-SA"/>
          <w14:textFill>
            <w14:solidFill>
              <w14:schemeClr w14:val="tx1"/>
            </w14:solidFill>
          </w14:textFill>
        </w:rPr>
        <w:t>三、资质证明材料</w:t>
      </w:r>
      <w:bookmarkEnd w:id="53"/>
    </w:p>
    <w:p w14:paraId="42353350">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29988FCF">
      <w:pPr>
        <w:jc w:val="both"/>
        <w:rPr>
          <w:rFonts w:hint="default"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t>（一）保险业务许可证</w:t>
      </w:r>
    </w:p>
    <w:p w14:paraId="46C1F9CA">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0AE785D8">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1E7E596E">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4FFCF0E8">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5E9C56AC">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7B6BEACD">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18BAA75E">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5566A8A4">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78588BB0">
      <w:pPr>
        <w:ind w:firstLine="560" w:firstLineChars="200"/>
        <w:jc w:val="both"/>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p>
    <w:p w14:paraId="0DA852EC">
      <w:pPr>
        <w:jc w:val="both"/>
        <w:rPr>
          <w:rFonts w:hint="default"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28"/>
          <w:szCs w:val="28"/>
          <w:highlight w:val="none"/>
          <w:lang w:val="en-US" w:eastAsia="zh-CN"/>
          <w14:textFill>
            <w14:solidFill>
              <w14:schemeClr w14:val="tx1"/>
            </w14:solidFill>
          </w14:textFill>
        </w:rPr>
        <w:t>（二）证明材料</w:t>
      </w:r>
    </w:p>
    <w:p w14:paraId="0E39009D">
      <w:pP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pPr>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br w:type="page"/>
      </w:r>
    </w:p>
    <w:p w14:paraId="25770009">
      <w:pPr>
        <w:widowControl/>
        <w:spacing w:line="360" w:lineRule="atLeast"/>
        <w:jc w:val="center"/>
        <w:outlineLvl w:val="1"/>
        <w:rPr>
          <w:rFonts w:ascii="仿宋_GB2312" w:hAnsi="仿宋_GB2312" w:eastAsia="仿宋_GB2312" w:cs="仿宋_GB2312"/>
          <w:b/>
          <w:color w:val="000000" w:themeColor="text1"/>
          <w:sz w:val="28"/>
          <w:szCs w:val="28"/>
          <w:highlight w:val="none"/>
          <w14:textFill>
            <w14:solidFill>
              <w14:schemeClr w14:val="tx1"/>
            </w14:solidFill>
          </w14:textFill>
        </w:rPr>
      </w:pPr>
      <w:bookmarkStart w:id="54" w:name="_Toc1445"/>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t>四</w:t>
      </w:r>
      <w:r>
        <w:rPr>
          <w:rFonts w:hint="eastAsia" w:ascii="仿宋_GB2312" w:hAnsi="仿宋_GB2312" w:eastAsia="仿宋_GB2312" w:cs="仿宋_GB2312"/>
          <w:b/>
          <w:color w:val="000000" w:themeColor="text1"/>
          <w:sz w:val="28"/>
          <w:szCs w:val="28"/>
          <w:highlight w:val="none"/>
          <w14:textFill>
            <w14:solidFill>
              <w14:schemeClr w14:val="tx1"/>
            </w14:solidFill>
          </w14:textFill>
        </w:rPr>
        <w:t>、法定代表人授权书</w:t>
      </w:r>
      <w:bookmarkEnd w:id="51"/>
      <w:bookmarkEnd w:id="52"/>
      <w:bookmarkEnd w:id="54"/>
    </w:p>
    <w:p w14:paraId="1F9E59A4">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4A3F2384">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1CAD71D0">
      <w:pPr>
        <w:widowControl/>
        <w:spacing w:line="360" w:lineRule="atLeast"/>
        <w:jc w:val="left"/>
        <w:rPr>
          <w:rFonts w:ascii="仿宋_GB2312" w:hAnsi="仿宋_GB2312" w:eastAsia="仿宋_GB2312" w:cs="仿宋_GB2312"/>
          <w:color w:val="000000" w:themeColor="text1"/>
          <w:sz w:val="24"/>
          <w:highlight w:val="none"/>
          <w14:textFill>
            <w14:solidFill>
              <w14:schemeClr w14:val="tx1"/>
            </w14:solidFill>
          </w14:textFill>
        </w:rPr>
      </w:pPr>
      <w:bookmarkStart w:id="55" w:name="_Toc485047129"/>
      <w:r>
        <w:rPr>
          <w:rFonts w:hint="eastAsia" w:ascii="仿宋_GB2312" w:hAnsi="仿宋_GB2312" w:eastAsia="仿宋_GB2312" w:cs="仿宋_GB2312"/>
          <w:color w:val="000000" w:themeColor="text1"/>
          <w:sz w:val="24"/>
          <w:highlight w:val="none"/>
          <w14:textFill>
            <w14:solidFill>
              <w14:schemeClr w14:val="tx1"/>
            </w14:solidFill>
          </w14:textFill>
        </w:rPr>
        <w:t>隆昌市润泰建设工程有限公司：</w:t>
      </w:r>
      <w:bookmarkEnd w:id="55"/>
    </w:p>
    <w:p w14:paraId="37D60C4A">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6" w:name="_Toc485047130"/>
      <w:r>
        <w:rPr>
          <w:rFonts w:hint="eastAsia" w:ascii="仿宋_GB2312" w:hAnsi="仿宋_GB2312" w:eastAsia="仿宋_GB2312" w:cs="仿宋_GB2312"/>
          <w:color w:val="000000" w:themeColor="text1"/>
          <w:sz w:val="24"/>
          <w:highlight w:val="none"/>
          <w14:textFill>
            <w14:solidFill>
              <w14:schemeClr w14:val="tx1"/>
            </w14:solidFill>
          </w14:textFill>
        </w:rPr>
        <w:t>本授权声明：</w:t>
      </w:r>
      <w:r>
        <w:rPr>
          <w:rFonts w:hint="eastAsia" w:ascii="仿宋_GB2312" w:hAnsi="仿宋_GB2312" w:eastAsia="仿宋_GB2312" w:cs="仿宋_GB2312"/>
          <w:color w:val="000000" w:themeColor="text1"/>
          <w:sz w:val="24"/>
          <w:highlight w:val="none"/>
          <w:u w:val="single"/>
          <w14:textFill>
            <w14:solidFill>
              <w14:schemeClr w14:val="tx1"/>
            </w14:solidFill>
          </w14:textFill>
        </w:rPr>
        <w:t>XXXX</w:t>
      </w:r>
      <w:r>
        <w:rPr>
          <w:rFonts w:hint="eastAsia" w:ascii="仿宋_GB2312" w:hAnsi="仿宋_GB2312" w:eastAsia="仿宋_GB2312" w:cs="仿宋_GB2312"/>
          <w:color w:val="000000" w:themeColor="text1"/>
          <w:sz w:val="24"/>
          <w:highlight w:val="none"/>
          <w14:textFill>
            <w14:solidFill>
              <w14:schemeClr w14:val="tx1"/>
            </w14:solidFill>
          </w14:textFill>
        </w:rPr>
        <w:t>（供应商名称）</w:t>
      </w:r>
      <w:r>
        <w:rPr>
          <w:rFonts w:hint="eastAsia" w:ascii="仿宋_GB2312" w:hAnsi="仿宋_GB2312" w:eastAsia="仿宋_GB2312" w:cs="仿宋_GB2312"/>
          <w:color w:val="000000" w:themeColor="text1"/>
          <w:sz w:val="24"/>
          <w:highlight w:val="none"/>
          <w:u w:val="single"/>
          <w14:textFill>
            <w14:solidFill>
              <w14:schemeClr w14:val="tx1"/>
            </w14:solidFill>
          </w14:textFill>
        </w:rPr>
        <w:t>XXXX</w:t>
      </w:r>
      <w:r>
        <w:rPr>
          <w:rFonts w:hint="eastAsia" w:ascii="仿宋_GB2312" w:hAnsi="仿宋_GB2312" w:eastAsia="仿宋_GB2312" w:cs="仿宋_GB2312"/>
          <w:color w:val="000000" w:themeColor="text1"/>
          <w:sz w:val="24"/>
          <w:highlight w:val="none"/>
          <w14:textFill>
            <w14:solidFill>
              <w14:schemeClr w14:val="tx1"/>
            </w14:solidFill>
          </w14:textFill>
        </w:rPr>
        <w:t>（法定代表人姓名、职务）授权</w:t>
      </w:r>
      <w:r>
        <w:rPr>
          <w:rFonts w:hint="eastAsia" w:ascii="仿宋_GB2312" w:hAnsi="仿宋_GB2312" w:eastAsia="仿宋_GB2312" w:cs="仿宋_GB2312"/>
          <w:color w:val="000000" w:themeColor="text1"/>
          <w:sz w:val="24"/>
          <w:highlight w:val="none"/>
          <w:u w:val="single"/>
          <w14:textFill>
            <w14:solidFill>
              <w14:schemeClr w14:val="tx1"/>
            </w14:solidFill>
          </w14:textFill>
        </w:rPr>
        <w:t>XXXX</w:t>
      </w:r>
      <w:r>
        <w:rPr>
          <w:rFonts w:hint="eastAsia" w:ascii="仿宋_GB2312" w:hAnsi="仿宋_GB2312" w:eastAsia="仿宋_GB2312" w:cs="仿宋_GB2312"/>
          <w:color w:val="000000" w:themeColor="text1"/>
          <w:sz w:val="24"/>
          <w:highlight w:val="none"/>
          <w14:textFill>
            <w14:solidFill>
              <w14:schemeClr w14:val="tx1"/>
            </w14:solidFill>
          </w14:textFill>
        </w:rPr>
        <w:t>（被授权人姓名、职务）为我方 “</w:t>
      </w:r>
      <w:r>
        <w:rPr>
          <w:rFonts w:hint="eastAsia" w:ascii="仿宋_GB2312" w:hAnsi="仿宋_GB2312" w:eastAsia="仿宋_GB2312" w:cs="仿宋_GB2312"/>
          <w:bCs/>
          <w:color w:val="000000" w:themeColor="text1"/>
          <w:sz w:val="24"/>
          <w:highlight w:val="none"/>
          <w:u w:val="single"/>
          <w14:textFill>
            <w14:solidFill>
              <w14:schemeClr w14:val="tx1"/>
            </w14:solidFill>
          </w14:textFill>
        </w:rPr>
        <w:t>XX</w:t>
      </w:r>
      <w:r>
        <w:rPr>
          <w:rFonts w:hint="eastAsia" w:ascii="仿宋_GB2312" w:hAnsi="仿宋_GB2312" w:eastAsia="仿宋_GB2312" w:cs="仿宋_GB2312"/>
          <w:bCs/>
          <w:color w:val="000000" w:themeColor="text1"/>
          <w:sz w:val="24"/>
          <w:highlight w:val="none"/>
          <w:u w:val="single"/>
          <w:lang w:eastAsia="zh-CN"/>
          <w14:textFill>
            <w14:solidFill>
              <w14:schemeClr w14:val="tx1"/>
            </w14:solidFill>
          </w14:textFill>
        </w:rPr>
        <w:t>（</w:t>
      </w:r>
      <w:r>
        <w:rPr>
          <w:rFonts w:hint="eastAsia" w:ascii="仿宋_GB2312" w:hAnsi="仿宋_GB2312" w:eastAsia="仿宋_GB2312" w:cs="仿宋_GB2312"/>
          <w:bCs/>
          <w:color w:val="000000" w:themeColor="text1"/>
          <w:sz w:val="24"/>
          <w:highlight w:val="none"/>
          <w:u w:val="single"/>
          <w:lang w:val="en-US" w:eastAsia="zh-CN"/>
          <w14:textFill>
            <w14:solidFill>
              <w14:schemeClr w14:val="tx1"/>
            </w14:solidFill>
          </w14:textFill>
        </w:rPr>
        <w:t>项目名称</w:t>
      </w:r>
      <w:r>
        <w:rPr>
          <w:rFonts w:hint="eastAsia" w:ascii="仿宋_GB2312" w:hAnsi="仿宋_GB2312" w:eastAsia="仿宋_GB2312" w:cs="仿宋_GB2312"/>
          <w:bCs/>
          <w:color w:val="000000" w:themeColor="text1"/>
          <w:sz w:val="24"/>
          <w:highlight w:val="none"/>
          <w:u w:val="single"/>
          <w:lang w:eastAsia="zh-CN"/>
          <w14:textFill>
            <w14:solidFill>
              <w14:schemeClr w14:val="tx1"/>
            </w14:solidFill>
          </w14:textFill>
        </w:rPr>
        <w:t>）</w:t>
      </w:r>
      <w:r>
        <w:rPr>
          <w:rFonts w:hint="eastAsia" w:ascii="仿宋_GB2312" w:hAnsi="仿宋_GB2312" w:eastAsia="仿宋_GB2312" w:cs="仿宋_GB2312"/>
          <w:color w:val="000000" w:themeColor="text1"/>
          <w:sz w:val="24"/>
          <w:highlight w:val="none"/>
          <w14:textFill>
            <w14:solidFill>
              <w14:schemeClr w14:val="tx1"/>
            </w14:solidFill>
          </w14:textFill>
        </w:rPr>
        <w:t>” （采购编号：XXXX）投标活动的合法代表，以我方名义全权处理该项目有关投标、签订合同以及执行合同等一切事宜。</w:t>
      </w:r>
      <w:bookmarkEnd w:id="56"/>
    </w:p>
    <w:p w14:paraId="250D1FB3">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7" w:name="_Toc485047131"/>
      <w:r>
        <w:rPr>
          <w:rFonts w:hint="eastAsia" w:ascii="仿宋_GB2312" w:hAnsi="仿宋_GB2312" w:eastAsia="仿宋_GB2312" w:cs="仿宋_GB2312"/>
          <w:color w:val="000000" w:themeColor="text1"/>
          <w:sz w:val="24"/>
          <w:highlight w:val="none"/>
          <w14:textFill>
            <w14:solidFill>
              <w14:schemeClr w14:val="tx1"/>
            </w14:solidFill>
          </w14:textFill>
        </w:rPr>
        <w:t>特此声明。</w:t>
      </w:r>
      <w:bookmarkEnd w:id="57"/>
    </w:p>
    <w:p w14:paraId="26E22727">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17DD9BBB">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531833B3">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8" w:name="_Toc485047132"/>
      <w:r>
        <w:rPr>
          <w:rFonts w:hint="eastAsia" w:ascii="仿宋_GB2312" w:hAnsi="仿宋_GB2312" w:eastAsia="仿宋_GB2312" w:cs="仿宋_GB2312"/>
          <w:color w:val="000000" w:themeColor="text1"/>
          <w:sz w:val="24"/>
          <w:highlight w:val="none"/>
          <w14:textFill>
            <w14:solidFill>
              <w14:schemeClr w14:val="tx1"/>
            </w14:solidFill>
          </w14:textFill>
        </w:rPr>
        <w:t>法定代表人签字或者加盖个人名章：XXXX。</w:t>
      </w:r>
      <w:bookmarkEnd w:id="58"/>
    </w:p>
    <w:p w14:paraId="3E78A3A1">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59" w:name="_Toc485047133"/>
      <w:r>
        <w:rPr>
          <w:rFonts w:hint="eastAsia" w:ascii="仿宋_GB2312" w:hAnsi="仿宋_GB2312" w:eastAsia="仿宋_GB2312" w:cs="仿宋_GB2312"/>
          <w:color w:val="000000" w:themeColor="text1"/>
          <w:sz w:val="24"/>
          <w:highlight w:val="none"/>
          <w14:textFill>
            <w14:solidFill>
              <w14:schemeClr w14:val="tx1"/>
            </w14:solidFill>
          </w14:textFill>
        </w:rPr>
        <w:t>授权代表签字：XXXX。</w:t>
      </w:r>
      <w:bookmarkEnd w:id="59"/>
    </w:p>
    <w:p w14:paraId="33D416F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60" w:name="_Toc485047134"/>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供应商名称：XXXX（单位盖章）。</w:t>
      </w:r>
      <w:bookmarkEnd w:id="60"/>
    </w:p>
    <w:p w14:paraId="1684AF90">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61" w:name="_Toc485047135"/>
      <w:r>
        <w:rPr>
          <w:rFonts w:hint="eastAsia" w:ascii="仿宋_GB2312" w:hAnsi="仿宋_GB2312" w:eastAsia="仿宋_GB2312" w:cs="仿宋_GB2312"/>
          <w:color w:val="000000" w:themeColor="text1"/>
          <w:sz w:val="24"/>
          <w:highlight w:val="none"/>
          <w14:textFill>
            <w14:solidFill>
              <w14:schemeClr w14:val="tx1"/>
            </w14:solidFill>
          </w14:textFill>
        </w:rPr>
        <w:t>日期：XXXX。</w:t>
      </w:r>
      <w:bookmarkEnd w:id="61"/>
    </w:p>
    <w:p w14:paraId="4E98BC72">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bookmarkStart w:id="62" w:name="_Toc217446084"/>
    </w:p>
    <w:p w14:paraId="5B5687AB">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16300359">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3D885F0D">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附法定代表人和授权代表身份证复印件：</w:t>
      </w:r>
    </w:p>
    <w:p w14:paraId="0AA6AC3A">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216B827D">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426042AF">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7B1013AA">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091838D5">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25AD3CCC">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0F606187">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16C15B81">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2C31D39D">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2617117B">
      <w:pPr>
        <w:widowControl/>
        <w:spacing w:line="360" w:lineRule="atLeast"/>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0B014C28">
      <w:pPr>
        <w:autoSpaceDE w:val="0"/>
        <w:autoSpaceDN w:val="0"/>
        <w:adjustRightInd w:val="0"/>
        <w:ind w:firstLine="566" w:firstLineChars="236"/>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说明：1、如法定代表人参加开标的，响应文件中不需提供法定代表人授权委托书，但必须提供法定代表人身份证复印件（加盖公章）。</w:t>
      </w:r>
    </w:p>
    <w:p w14:paraId="6D0B6CB4">
      <w:pPr>
        <w:autoSpaceDE w:val="0"/>
        <w:autoSpaceDN w:val="0"/>
        <w:adjustRightInd w:val="0"/>
        <w:ind w:firstLine="1284" w:firstLineChars="535"/>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2、如授权代表参加开标的，响应文件中必须提供法定代表人授权委托书，法定代表人和授权代表的身份证复印件（加盖公章）。</w:t>
      </w:r>
    </w:p>
    <w:p w14:paraId="3552949B">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5D916E35">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03241E66">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6B7319FF">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p w14:paraId="28CB3FC3">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bookmarkEnd w:id="62"/>
    <w:p w14:paraId="3565F3C5">
      <w:pPr>
        <w:widowControl/>
        <w:spacing w:line="360" w:lineRule="atLeast"/>
        <w:jc w:val="center"/>
        <w:outlineLvl w:val="1"/>
        <w:rPr>
          <w:rFonts w:ascii="仿宋_GB2312" w:hAnsi="仿宋_GB2312" w:eastAsia="仿宋_GB2312" w:cs="仿宋_GB2312"/>
          <w:b/>
          <w:color w:val="000000" w:themeColor="text1"/>
          <w:sz w:val="28"/>
          <w:szCs w:val="28"/>
          <w:highlight w:val="none"/>
          <w14:textFill>
            <w14:solidFill>
              <w14:schemeClr w14:val="tx1"/>
            </w14:solidFill>
          </w14:textFill>
        </w:rPr>
      </w:pPr>
      <w:bookmarkStart w:id="63" w:name="_Toc10295"/>
      <w:bookmarkStart w:id="64" w:name="_Toc217446085"/>
      <w:bookmarkStart w:id="65" w:name="_Toc485047136"/>
      <w:bookmarkStart w:id="66" w:name="_Toc32706"/>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t>五</w:t>
      </w:r>
      <w:r>
        <w:rPr>
          <w:rFonts w:hint="eastAsia" w:ascii="仿宋_GB2312" w:hAnsi="仿宋_GB2312" w:eastAsia="仿宋_GB2312" w:cs="仿宋_GB2312"/>
          <w:b/>
          <w:color w:val="000000" w:themeColor="text1"/>
          <w:sz w:val="28"/>
          <w:szCs w:val="28"/>
          <w:highlight w:val="none"/>
          <w14:textFill>
            <w14:solidFill>
              <w14:schemeClr w14:val="tx1"/>
            </w14:solidFill>
          </w14:textFill>
        </w:rPr>
        <w:t>、</w:t>
      </w:r>
      <w:bookmarkEnd w:id="63"/>
      <w:bookmarkEnd w:id="64"/>
      <w:bookmarkEnd w:id="65"/>
      <w:r>
        <w:rPr>
          <w:rFonts w:hint="eastAsia" w:ascii="仿宋_GB2312" w:hAnsi="仿宋_GB2312" w:eastAsia="仿宋_GB2312" w:cs="仿宋_GB2312"/>
          <w:b/>
          <w:color w:val="000000" w:themeColor="text1"/>
          <w:sz w:val="28"/>
          <w:szCs w:val="28"/>
          <w:highlight w:val="none"/>
          <w14:textFill>
            <w14:solidFill>
              <w14:schemeClr w14:val="tx1"/>
            </w14:solidFill>
          </w14:textFill>
        </w:rPr>
        <w:t>报价表</w:t>
      </w:r>
      <w:bookmarkEnd w:id="66"/>
    </w:p>
    <w:p w14:paraId="3725A4C9">
      <w:pPr>
        <w:widowControl/>
        <w:spacing w:line="360" w:lineRule="atLeast"/>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14:paraId="0080340D">
      <w:pPr>
        <w:widowControl/>
        <w:spacing w:before="100" w:beforeAutospacing="1" w:after="100" w:afterAutospacing="1" w:line="240" w:lineRule="auto"/>
        <w:jc w:val="left"/>
        <w:rPr>
          <w:rFonts w:ascii="仿宋_GB2312" w:hAnsi="仿宋_GB2312" w:eastAsia="仿宋_GB2312" w:cs="仿宋_GB2312"/>
          <w:color w:val="000000" w:themeColor="text1"/>
          <w:sz w:val="24"/>
          <w:highlight w:val="none"/>
          <w14:textFill>
            <w14:solidFill>
              <w14:schemeClr w14:val="tx1"/>
            </w14:solidFill>
          </w14:textFill>
        </w:rPr>
      </w:pPr>
      <w:bookmarkStart w:id="67" w:name="_Toc16563"/>
      <w:bookmarkStart w:id="68" w:name="_Toc217446087"/>
      <w:bookmarkStart w:id="69" w:name="_Toc485047176"/>
      <w:r>
        <w:rPr>
          <w:rFonts w:ascii="仿宋_GB2312" w:hAnsi="仿宋_GB2312" w:eastAsia="仿宋_GB2312" w:cs="仿宋_GB2312"/>
          <w:color w:val="000000" w:themeColor="text1"/>
          <w:sz w:val="24"/>
          <w:highlight w:val="none"/>
          <w14:textFill>
            <w14:solidFill>
              <w14:schemeClr w14:val="tx1"/>
            </w14:solidFill>
          </w14:textFill>
        </w:rPr>
        <w:t>我公司本着实事求是的原则及充分了解项目的需求，经公司研究决定，现报价如下：</w:t>
      </w:r>
    </w:p>
    <w:tbl>
      <w:tblPr>
        <w:tblStyle w:val="28"/>
        <w:tblpPr w:leftFromText="180" w:rightFromText="180" w:vertAnchor="text" w:horzAnchor="page" w:tblpXSpec="center" w:tblpY="218"/>
        <w:tblOverlap w:val="never"/>
        <w:tblW w:w="9032" w:type="dxa"/>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1810"/>
        <w:gridCol w:w="1288"/>
        <w:gridCol w:w="2024"/>
        <w:gridCol w:w="1853"/>
        <w:gridCol w:w="2057"/>
      </w:tblGrid>
      <w:tr w14:paraId="092FC692">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18" w:hRule="atLeast"/>
          <w:jc w:val="center"/>
        </w:trPr>
        <w:tc>
          <w:tcPr>
            <w:tcW w:w="9032" w:type="dxa"/>
            <w:gridSpan w:val="5"/>
            <w:tcBorders>
              <w:left w:val="single" w:color="000000" w:sz="4" w:space="0"/>
              <w:bottom w:val="single" w:color="000000" w:sz="4" w:space="0"/>
            </w:tcBorders>
            <w:noWrap w:val="0"/>
            <w:vAlign w:val="center"/>
          </w:tcPr>
          <w:p w14:paraId="22C2349A">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建筑工程施工人员团体人身意外伤害保险服务要求</w:t>
            </w:r>
          </w:p>
        </w:tc>
      </w:tr>
      <w:tr w14:paraId="13BD7C7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6975" w:type="dxa"/>
            <w:gridSpan w:val="4"/>
            <w:tcBorders>
              <w:left w:val="single" w:color="000000" w:sz="4" w:space="0"/>
              <w:bottom w:val="single" w:color="000000" w:sz="4" w:space="0"/>
              <w:right w:val="single" w:color="000000" w:sz="4" w:space="0"/>
            </w:tcBorders>
            <w:noWrap w:val="0"/>
            <w:vAlign w:val="center"/>
          </w:tcPr>
          <w:p w14:paraId="769303BE">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服务内容</w:t>
            </w:r>
          </w:p>
        </w:tc>
        <w:tc>
          <w:tcPr>
            <w:tcW w:w="2057" w:type="dxa"/>
            <w:vMerge w:val="restart"/>
            <w:tcBorders>
              <w:left w:val="single" w:color="000000" w:sz="4" w:space="0"/>
            </w:tcBorders>
            <w:noWrap w:val="0"/>
            <w:vAlign w:val="center"/>
          </w:tcPr>
          <w:p w14:paraId="3DF926D5">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保费（元）含税</w:t>
            </w:r>
          </w:p>
        </w:tc>
      </w:tr>
      <w:tr w14:paraId="7C86710D">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810" w:type="dxa"/>
            <w:tcBorders>
              <w:top w:val="single" w:color="000000" w:sz="4" w:space="0"/>
              <w:left w:val="single" w:color="000000" w:sz="4" w:space="0"/>
              <w:bottom w:val="single" w:color="000000" w:sz="4" w:space="0"/>
              <w:right w:val="single" w:color="000000" w:sz="4" w:space="0"/>
            </w:tcBorders>
            <w:noWrap w:val="0"/>
            <w:vAlign w:val="center"/>
          </w:tcPr>
          <w:p w14:paraId="77E41930">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人身伤亡</w:t>
            </w:r>
          </w:p>
        </w:tc>
        <w:tc>
          <w:tcPr>
            <w:tcW w:w="1288" w:type="dxa"/>
            <w:tcBorders>
              <w:top w:val="single" w:color="000000" w:sz="4" w:space="0"/>
              <w:left w:val="single" w:color="000000" w:sz="4" w:space="0"/>
              <w:bottom w:val="single" w:color="000000" w:sz="4" w:space="0"/>
              <w:right w:val="single" w:color="000000" w:sz="4" w:space="0"/>
            </w:tcBorders>
            <w:noWrap w:val="0"/>
            <w:vAlign w:val="center"/>
          </w:tcPr>
          <w:p w14:paraId="3F668F97">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医疗费用</w:t>
            </w:r>
          </w:p>
        </w:tc>
        <w:tc>
          <w:tcPr>
            <w:tcW w:w="2024" w:type="dxa"/>
            <w:tcBorders>
              <w:top w:val="single" w:color="000000" w:sz="4" w:space="0"/>
              <w:left w:val="single" w:color="000000" w:sz="4" w:space="0"/>
              <w:bottom w:val="single" w:color="000000" w:sz="4" w:space="0"/>
              <w:right w:val="single" w:color="000000" w:sz="4" w:space="0"/>
            </w:tcBorders>
            <w:noWrap w:val="0"/>
            <w:vAlign w:val="center"/>
          </w:tcPr>
          <w:p w14:paraId="367D75BE">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住院津贴</w:t>
            </w:r>
          </w:p>
        </w:tc>
        <w:tc>
          <w:tcPr>
            <w:tcW w:w="1853" w:type="dxa"/>
            <w:tcBorders>
              <w:top w:val="single" w:color="000000" w:sz="4" w:space="0"/>
              <w:left w:val="single" w:color="000000" w:sz="4" w:space="0"/>
              <w:bottom w:val="single" w:color="000000" w:sz="4" w:space="0"/>
              <w:right w:val="single" w:color="000000" w:sz="4" w:space="0"/>
            </w:tcBorders>
            <w:noWrap w:val="0"/>
            <w:vAlign w:val="center"/>
          </w:tcPr>
          <w:p w14:paraId="1D0F3544">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医疗免赔</w:t>
            </w:r>
          </w:p>
        </w:tc>
        <w:tc>
          <w:tcPr>
            <w:tcW w:w="2057" w:type="dxa"/>
            <w:vMerge w:val="continue"/>
            <w:tcBorders>
              <w:left w:val="single" w:color="000000" w:sz="4" w:space="0"/>
              <w:bottom w:val="single" w:color="000000" w:sz="4" w:space="0"/>
            </w:tcBorders>
            <w:noWrap w:val="0"/>
            <w:vAlign w:val="center"/>
          </w:tcPr>
          <w:p w14:paraId="0353EF6F">
            <w:pPr>
              <w:widowControl/>
              <w:jc w:val="center"/>
              <w:rPr>
                <w:rFonts w:hint="eastAsia" w:ascii="仿宋" w:hAnsi="仿宋" w:eastAsia="仿宋" w:cs="仿宋"/>
                <w:color w:val="000000" w:themeColor="text1"/>
                <w:kern w:val="0"/>
                <w:sz w:val="24"/>
                <w:highlight w:val="none"/>
                <w:lang w:bidi="ar"/>
                <w14:textFill>
                  <w14:solidFill>
                    <w14:schemeClr w14:val="tx1"/>
                  </w14:solidFill>
                </w14:textFill>
              </w:rPr>
            </w:pPr>
          </w:p>
        </w:tc>
      </w:tr>
      <w:tr w14:paraId="6C07222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1810" w:type="dxa"/>
            <w:tcBorders>
              <w:top w:val="single" w:color="000000" w:sz="4" w:space="0"/>
              <w:left w:val="single" w:color="000000" w:sz="4" w:space="0"/>
              <w:right w:val="single" w:color="000000" w:sz="4" w:space="0"/>
            </w:tcBorders>
            <w:noWrap w:val="0"/>
            <w:vAlign w:val="center"/>
          </w:tcPr>
          <w:p w14:paraId="16BA7A67">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50万元</w:t>
            </w:r>
          </w:p>
        </w:tc>
        <w:tc>
          <w:tcPr>
            <w:tcW w:w="1288" w:type="dxa"/>
            <w:tcBorders>
              <w:top w:val="single" w:color="000000" w:sz="4" w:space="0"/>
              <w:left w:val="single" w:color="000000" w:sz="4" w:space="0"/>
              <w:right w:val="single" w:color="000000" w:sz="4" w:space="0"/>
            </w:tcBorders>
            <w:noWrap w:val="0"/>
            <w:vAlign w:val="center"/>
          </w:tcPr>
          <w:p w14:paraId="385F56A1">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5万元</w:t>
            </w:r>
          </w:p>
        </w:tc>
        <w:tc>
          <w:tcPr>
            <w:tcW w:w="2024" w:type="dxa"/>
            <w:tcBorders>
              <w:top w:val="single" w:color="000000" w:sz="4" w:space="0"/>
              <w:left w:val="single" w:color="000000" w:sz="4" w:space="0"/>
              <w:right w:val="single" w:color="000000" w:sz="4" w:space="0"/>
            </w:tcBorders>
            <w:noWrap w:val="0"/>
            <w:vAlign w:val="center"/>
          </w:tcPr>
          <w:p w14:paraId="066272F7">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每日津贴给付标准100元，每次免赔日数3日，每次最高给付津贴日数60日，总给付日数180日。</w:t>
            </w:r>
          </w:p>
        </w:tc>
        <w:tc>
          <w:tcPr>
            <w:tcW w:w="1853" w:type="dxa"/>
            <w:tcBorders>
              <w:top w:val="single" w:color="000000" w:sz="4" w:space="0"/>
              <w:left w:val="single" w:color="000000" w:sz="4" w:space="0"/>
              <w:right w:val="single" w:color="000000" w:sz="4" w:space="0"/>
            </w:tcBorders>
            <w:shd w:val="clear" w:color="auto" w:fill="auto"/>
            <w:noWrap w:val="0"/>
            <w:vAlign w:val="center"/>
          </w:tcPr>
          <w:p w14:paraId="4B9137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themeColor="text1"/>
                <w:kern w:val="0"/>
                <w:sz w:val="18"/>
                <w:szCs w:val="18"/>
                <w:u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门诊限额500元，每次事故免赔额100元，给付比例90%</w:t>
            </w:r>
          </w:p>
        </w:tc>
        <w:tc>
          <w:tcPr>
            <w:tcW w:w="2057" w:type="dxa"/>
            <w:tcBorders>
              <w:top w:val="single" w:color="000000" w:sz="4" w:space="0"/>
              <w:left w:val="single" w:color="000000" w:sz="4" w:space="0"/>
            </w:tcBorders>
            <w:noWrap w:val="0"/>
            <w:vAlign w:val="center"/>
          </w:tcPr>
          <w:p w14:paraId="4C376E71">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p>
        </w:tc>
      </w:tr>
    </w:tbl>
    <w:p w14:paraId="19547F7B">
      <w:pPr>
        <w:widowControl/>
        <w:jc w:val="left"/>
        <w:rPr>
          <w:rFonts w:hint="eastAsia" w:ascii="仿宋" w:hAnsi="仿宋" w:eastAsia="仿宋" w:cs="仿宋"/>
          <w:color w:val="000000" w:themeColor="text1"/>
          <w:kern w:val="0"/>
          <w:sz w:val="24"/>
          <w:highlight w:val="none"/>
          <w:lang w:bidi="ar"/>
          <w14:textFill>
            <w14:solidFill>
              <w14:schemeClr w14:val="tx1"/>
            </w14:solidFill>
          </w14:textFill>
        </w:rPr>
      </w:pPr>
    </w:p>
    <w:p w14:paraId="721D7D4E">
      <w:pPr>
        <w:widowControl/>
        <w:jc w:val="left"/>
        <w:rPr>
          <w:color w:val="000000" w:themeColor="text1"/>
          <w:highlight w:val="none"/>
          <w14:textFill>
            <w14:solidFill>
              <w14:schemeClr w14:val="tx1"/>
            </w14:solidFill>
          </w14:textFill>
        </w:rPr>
      </w:pPr>
    </w:p>
    <w:p w14:paraId="175BCE00">
      <w:pP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lang w:val="en-US" w:eastAsia="zh-CN"/>
          <w14:textFill>
            <w14:solidFill>
              <w14:schemeClr w14:val="tx1"/>
            </w14:solidFill>
          </w14:textFill>
        </w:rPr>
        <w:t>注：</w:t>
      </w:r>
      <w:r>
        <w:rPr>
          <w:rFonts w:hint="eastAsia" w:ascii="仿宋_GB2312" w:eastAsia="仿宋_GB2312"/>
          <w:color w:val="000000" w:themeColor="text1"/>
          <w:sz w:val="24"/>
          <w14:textFill>
            <w14:solidFill>
              <w14:schemeClr w14:val="tx1"/>
            </w14:solidFill>
          </w14:textFill>
        </w:rPr>
        <w:t>报价应是最终的总价，包括人工、材料、交通、税费、代理服务费等费用和谈判文件规定的其它费用。</w:t>
      </w:r>
    </w:p>
    <w:p w14:paraId="39245747">
      <w:pPr>
        <w:pStyle w:val="34"/>
        <w:rPr>
          <w:color w:val="000000" w:themeColor="text1"/>
          <w:highlight w:val="none"/>
          <w14:textFill>
            <w14:solidFill>
              <w14:schemeClr w14:val="tx1"/>
            </w14:solidFill>
          </w14:textFill>
        </w:rPr>
      </w:pPr>
    </w:p>
    <w:p w14:paraId="05048D51">
      <w:pPr>
        <w:widowControl/>
        <w:spacing w:line="360" w:lineRule="atLeast"/>
        <w:jc w:val="center"/>
        <w:outlineLvl w:val="1"/>
        <w:rPr>
          <w:rFonts w:ascii="仿宋_GB2312" w:hAnsi="仿宋_GB2312" w:eastAsia="仿宋_GB2312" w:cs="仿宋_GB2312"/>
          <w:b/>
          <w:color w:val="000000" w:themeColor="text1"/>
          <w:sz w:val="28"/>
          <w:szCs w:val="28"/>
          <w:highlight w:val="none"/>
          <w14:textFill>
            <w14:solidFill>
              <w14:schemeClr w14:val="tx1"/>
            </w14:solidFill>
          </w14:textFill>
        </w:rPr>
      </w:pPr>
      <w:r>
        <w:rPr>
          <w:rFonts w:hint="eastAsia" w:ascii="仿宋_GB2312" w:hAnsi="仿宋_GB2312" w:eastAsia="仿宋_GB2312" w:cs="仿宋_GB2312"/>
          <w:b/>
          <w:color w:val="000000" w:themeColor="text1"/>
          <w:sz w:val="28"/>
          <w:szCs w:val="28"/>
          <w:highlight w:val="none"/>
          <w14:textFill>
            <w14:solidFill>
              <w14:schemeClr w14:val="tx1"/>
            </w14:solidFill>
          </w14:textFill>
        </w:rPr>
        <w:br w:type="page"/>
      </w:r>
      <w:bookmarkStart w:id="70" w:name="_Toc14933"/>
      <w:r>
        <w:rPr>
          <w:rFonts w:hint="eastAsia" w:ascii="仿宋_GB2312" w:hAnsi="仿宋_GB2312" w:eastAsia="仿宋_GB2312" w:cs="仿宋_GB2312"/>
          <w:b/>
          <w:color w:val="000000" w:themeColor="text1"/>
          <w:sz w:val="28"/>
          <w:szCs w:val="28"/>
          <w:highlight w:val="none"/>
          <w:lang w:val="en-US" w:eastAsia="zh-CN"/>
          <w14:textFill>
            <w14:solidFill>
              <w14:schemeClr w14:val="tx1"/>
            </w14:solidFill>
          </w14:textFill>
        </w:rPr>
        <w:t>六</w:t>
      </w:r>
      <w:r>
        <w:rPr>
          <w:rFonts w:hint="eastAsia" w:ascii="仿宋_GB2312" w:hAnsi="仿宋_GB2312" w:eastAsia="仿宋_GB2312" w:cs="仿宋_GB2312"/>
          <w:b/>
          <w:color w:val="000000" w:themeColor="text1"/>
          <w:sz w:val="28"/>
          <w:szCs w:val="28"/>
          <w:highlight w:val="none"/>
          <w14:textFill>
            <w14:solidFill>
              <w14:schemeClr w14:val="tx1"/>
            </w14:solidFill>
          </w14:textFill>
        </w:rPr>
        <w:t>、技术、商务应答表</w:t>
      </w:r>
      <w:bookmarkEnd w:id="67"/>
      <w:bookmarkEnd w:id="68"/>
      <w:bookmarkEnd w:id="69"/>
      <w:bookmarkEnd w:id="70"/>
    </w:p>
    <w:p w14:paraId="6D5F6402">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47DDD6C3">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tbl>
      <w:tblPr>
        <w:tblStyle w:val="28"/>
        <w:tblW w:w="91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588"/>
        <w:gridCol w:w="2693"/>
        <w:gridCol w:w="2906"/>
      </w:tblGrid>
      <w:tr w14:paraId="0BE4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14:paraId="2BD060D9">
            <w:pPr>
              <w:widowControl/>
              <w:spacing w:line="360" w:lineRule="atLeast"/>
              <w:jc w:val="center"/>
              <w:rPr>
                <w:rFonts w:ascii="仿宋_GB2312" w:hAnsi="仿宋_GB2312" w:eastAsia="仿宋_GB2312" w:cs="仿宋_GB2312"/>
                <w:color w:val="000000" w:themeColor="text1"/>
                <w:sz w:val="24"/>
                <w:highlight w:val="none"/>
                <w14:textFill>
                  <w14:solidFill>
                    <w14:schemeClr w14:val="tx1"/>
                  </w14:solidFill>
                </w14:textFill>
              </w:rPr>
            </w:pPr>
            <w:bookmarkStart w:id="71" w:name="_Toc485047178"/>
            <w:r>
              <w:rPr>
                <w:rFonts w:hint="eastAsia" w:ascii="仿宋_GB2312" w:hAnsi="仿宋_GB2312" w:eastAsia="仿宋_GB2312" w:cs="仿宋_GB2312"/>
                <w:color w:val="000000" w:themeColor="text1"/>
                <w:sz w:val="24"/>
                <w:highlight w:val="none"/>
                <w14:textFill>
                  <w14:solidFill>
                    <w14:schemeClr w14:val="tx1"/>
                  </w14:solidFill>
                </w14:textFill>
              </w:rPr>
              <w:t>序号</w:t>
            </w:r>
            <w:bookmarkEnd w:id="71"/>
          </w:p>
        </w:tc>
        <w:tc>
          <w:tcPr>
            <w:tcW w:w="2588" w:type="dxa"/>
            <w:vAlign w:val="center"/>
          </w:tcPr>
          <w:p w14:paraId="35F651E1">
            <w:pPr>
              <w:widowControl/>
              <w:spacing w:line="360" w:lineRule="atLeast"/>
              <w:jc w:val="center"/>
              <w:rPr>
                <w:rFonts w:ascii="仿宋_GB2312" w:hAnsi="仿宋_GB2312" w:eastAsia="仿宋_GB2312" w:cs="仿宋_GB2312"/>
                <w:color w:val="000000" w:themeColor="text1"/>
                <w:sz w:val="24"/>
                <w:highlight w:val="none"/>
                <w14:textFill>
                  <w14:solidFill>
                    <w14:schemeClr w14:val="tx1"/>
                  </w14:solidFill>
                </w14:textFill>
              </w:rPr>
            </w:pPr>
            <w:bookmarkStart w:id="72" w:name="_Toc485047180"/>
            <w:r>
              <w:rPr>
                <w:rFonts w:hint="eastAsia" w:ascii="仿宋_GB2312" w:hAnsi="仿宋_GB2312" w:eastAsia="仿宋_GB2312" w:cs="仿宋_GB2312"/>
                <w:color w:val="000000" w:themeColor="text1"/>
                <w:sz w:val="24"/>
                <w:highlight w:val="none"/>
                <w14:textFill>
                  <w14:solidFill>
                    <w14:schemeClr w14:val="tx1"/>
                  </w14:solidFill>
                </w14:textFill>
              </w:rPr>
              <w:t>采购要求</w:t>
            </w:r>
            <w:bookmarkEnd w:id="72"/>
          </w:p>
        </w:tc>
        <w:tc>
          <w:tcPr>
            <w:tcW w:w="2693" w:type="dxa"/>
            <w:vAlign w:val="center"/>
          </w:tcPr>
          <w:p w14:paraId="2B03E70A">
            <w:pPr>
              <w:widowControl/>
              <w:spacing w:line="360" w:lineRule="atLeast"/>
              <w:ind w:firstLine="470" w:firstLineChars="196"/>
              <w:jc w:val="center"/>
              <w:rPr>
                <w:rFonts w:ascii="仿宋_GB2312" w:hAnsi="仿宋_GB2312" w:eastAsia="仿宋_GB2312" w:cs="仿宋_GB2312"/>
                <w:color w:val="000000" w:themeColor="text1"/>
                <w:sz w:val="24"/>
                <w:highlight w:val="none"/>
                <w14:textFill>
                  <w14:solidFill>
                    <w14:schemeClr w14:val="tx1"/>
                  </w14:solidFill>
                </w14:textFill>
              </w:rPr>
            </w:pPr>
            <w:bookmarkStart w:id="73" w:name="_Toc485047181"/>
            <w:r>
              <w:rPr>
                <w:rFonts w:hint="eastAsia" w:ascii="仿宋_GB2312" w:hAnsi="仿宋_GB2312" w:eastAsia="仿宋_GB2312" w:cs="仿宋_GB2312"/>
                <w:color w:val="000000" w:themeColor="text1"/>
                <w:sz w:val="24"/>
                <w:highlight w:val="none"/>
                <w14:textFill>
                  <w14:solidFill>
                    <w14:schemeClr w14:val="tx1"/>
                  </w14:solidFill>
                </w14:textFill>
              </w:rPr>
              <w:t>响应应答</w:t>
            </w:r>
            <w:bookmarkEnd w:id="73"/>
          </w:p>
        </w:tc>
        <w:tc>
          <w:tcPr>
            <w:tcW w:w="2906" w:type="dxa"/>
            <w:vAlign w:val="center"/>
          </w:tcPr>
          <w:p w14:paraId="1EA5452E">
            <w:pPr>
              <w:widowControl/>
              <w:spacing w:line="360" w:lineRule="atLeast"/>
              <w:ind w:firstLine="470" w:firstLineChars="196"/>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偏离/响应情况</w:t>
            </w:r>
          </w:p>
        </w:tc>
      </w:tr>
      <w:tr w14:paraId="59842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255CF20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5758443B">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67895C58">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00F60D2F">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r w14:paraId="62177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7DEBF373">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1EA03A2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18E7CCD0">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1D2F9584">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r w14:paraId="439E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450CDA4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4D5E6212">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64F4C7B6">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5E06C4F7">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r w14:paraId="286EB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14:paraId="4DB58E08">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588" w:type="dxa"/>
          </w:tcPr>
          <w:p w14:paraId="22031684">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693" w:type="dxa"/>
          </w:tcPr>
          <w:p w14:paraId="2B81F85A">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c>
          <w:tcPr>
            <w:tcW w:w="2906" w:type="dxa"/>
          </w:tcPr>
          <w:p w14:paraId="253CC187">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tc>
      </w:tr>
    </w:tbl>
    <w:p w14:paraId="21376C74">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4" w:name="_Toc485047182"/>
      <w:r>
        <w:rPr>
          <w:rFonts w:hint="eastAsia" w:ascii="仿宋_GB2312" w:hAnsi="仿宋_GB2312" w:eastAsia="仿宋_GB2312" w:cs="仿宋_GB2312"/>
          <w:color w:val="000000" w:themeColor="text1"/>
          <w:sz w:val="24"/>
          <w:highlight w:val="none"/>
          <w14:textFill>
            <w14:solidFill>
              <w14:schemeClr w14:val="tx1"/>
            </w14:solidFill>
          </w14:textFill>
        </w:rPr>
        <w:t>注：供应商必须据实填写，不得虚假应答，否则将取消其投标或中标资格。</w:t>
      </w:r>
      <w:bookmarkEnd w:id="74"/>
      <w:r>
        <w:rPr>
          <w:rFonts w:hint="eastAsia" w:ascii="仿宋_GB2312" w:hAnsi="仿宋_GB2312" w:eastAsia="仿宋_GB2312" w:cs="仿宋_GB2312"/>
          <w:color w:val="000000" w:themeColor="text1"/>
          <w:sz w:val="24"/>
          <w:highlight w:val="none"/>
          <w14:textFill>
            <w14:solidFill>
              <w14:schemeClr w14:val="tx1"/>
            </w14:solidFill>
          </w14:textFill>
        </w:rPr>
        <w:t>如响应文件与谈判文件商务相关条款无偏离，则无须逐条应答。如有偏离条款，请将偏离条款逐条应答。未明确应答的条款均视为接受及满足谈判文件要求。</w:t>
      </w:r>
    </w:p>
    <w:p w14:paraId="03794A47">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27080CFA">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139C826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5" w:name="_Toc485047183"/>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供应商名称：XXXX（单位盖章）。</w:t>
      </w:r>
      <w:bookmarkEnd w:id="75"/>
    </w:p>
    <w:p w14:paraId="4CE6F60E">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6" w:name="_Toc485047184"/>
      <w:r>
        <w:rPr>
          <w:rFonts w:hint="eastAsia" w:ascii="仿宋_GB2312" w:hAnsi="仿宋_GB2312" w:eastAsia="仿宋_GB2312" w:cs="仿宋_GB2312"/>
          <w:color w:val="000000" w:themeColor="text1"/>
          <w:sz w:val="24"/>
          <w:highlight w:val="none"/>
          <w14:textFill>
            <w14:solidFill>
              <w14:schemeClr w14:val="tx1"/>
            </w14:solidFill>
          </w14:textFill>
        </w:rPr>
        <w:t>法定代表人或授权代表（签字或加盖个人名章）：XXXX。</w:t>
      </w:r>
      <w:bookmarkEnd w:id="76"/>
    </w:p>
    <w:p w14:paraId="345755B7">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bookmarkStart w:id="77" w:name="_Toc485047185"/>
      <w:r>
        <w:rPr>
          <w:rFonts w:hint="eastAsia" w:ascii="仿宋_GB2312" w:hAnsi="仿宋_GB2312" w:eastAsia="仿宋_GB2312" w:cs="仿宋_GB2312"/>
          <w:color w:val="000000" w:themeColor="text1"/>
          <w:sz w:val="24"/>
          <w:highlight w:val="none"/>
          <w14:textFill>
            <w14:solidFill>
              <w14:schemeClr w14:val="tx1"/>
            </w14:solidFill>
          </w14:textFill>
        </w:rPr>
        <w:t>日    期: XXXX。</w:t>
      </w:r>
      <w:bookmarkEnd w:id="77"/>
    </w:p>
    <w:p w14:paraId="6D9DEFB0">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p>
    <w:p w14:paraId="4D7C9188">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0F243EFF">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70C3637E">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2E9F0F27">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568CAD9C">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bookmarkStart w:id="78" w:name="_Toc217446088"/>
    </w:p>
    <w:p w14:paraId="0DA4C744">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65EC4C83">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33B6332B">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48C2C8F3">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14FF6DEC">
      <w:pPr>
        <w:widowControl/>
        <w:spacing w:line="360" w:lineRule="atLeast"/>
        <w:ind w:firstLine="472" w:firstLineChars="196"/>
        <w:jc w:val="left"/>
        <w:rPr>
          <w:rFonts w:ascii="仿宋_GB2312" w:hAnsi="仿宋_GB2312" w:eastAsia="仿宋_GB2312" w:cs="仿宋_GB2312"/>
          <w:b/>
          <w:color w:val="000000" w:themeColor="text1"/>
          <w:sz w:val="24"/>
          <w:highlight w:val="none"/>
          <w14:textFill>
            <w14:solidFill>
              <w14:schemeClr w14:val="tx1"/>
            </w14:solidFill>
          </w14:textFill>
        </w:rPr>
      </w:pPr>
    </w:p>
    <w:p w14:paraId="6C6FFDFE">
      <w:pPr>
        <w:widowControl/>
        <w:spacing w:line="360" w:lineRule="atLeast"/>
        <w:jc w:val="left"/>
        <w:rPr>
          <w:rFonts w:ascii="仿宋_GB2312" w:hAnsi="仿宋_GB2312" w:eastAsia="仿宋_GB2312" w:cs="仿宋_GB2312"/>
          <w:b/>
          <w:color w:val="000000" w:themeColor="text1"/>
          <w:sz w:val="24"/>
          <w:highlight w:val="none"/>
          <w14:textFill>
            <w14:solidFill>
              <w14:schemeClr w14:val="tx1"/>
            </w14:solidFill>
          </w14:textFill>
        </w:rPr>
      </w:pPr>
    </w:p>
    <w:bookmarkEnd w:id="78"/>
    <w:p w14:paraId="47E93A79">
      <w:pPr>
        <w:pStyle w:val="3"/>
        <w:jc w:val="center"/>
        <w:rPr>
          <w:rFonts w:ascii="仿宋_GB2312" w:hAnsi="仿宋_GB2312" w:eastAsia="仿宋_GB2312" w:cs="仿宋_GB2312"/>
          <w:color w:val="000000" w:themeColor="text1"/>
          <w:sz w:val="28"/>
          <w:szCs w:val="28"/>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br w:type="page"/>
      </w:r>
      <w:bookmarkStart w:id="79" w:name="_Toc18317"/>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七</w:t>
      </w:r>
      <w:r>
        <w:rPr>
          <w:rFonts w:hint="eastAsia" w:ascii="仿宋_GB2312" w:hAnsi="仿宋_GB2312" w:eastAsia="仿宋_GB2312" w:cs="仿宋_GB2312"/>
          <w:color w:val="000000" w:themeColor="text1"/>
          <w:sz w:val="28"/>
          <w:szCs w:val="28"/>
          <w:highlight w:val="none"/>
          <w14:textFill>
            <w14:solidFill>
              <w14:schemeClr w14:val="tx1"/>
            </w14:solidFill>
          </w14:textFill>
        </w:rPr>
        <w:t>、最后报价表</w:t>
      </w:r>
      <w:bookmarkEnd w:id="79"/>
    </w:p>
    <w:p w14:paraId="64F45BDE">
      <w:pPr>
        <w:tabs>
          <w:tab w:val="left" w:pos="900"/>
        </w:tabs>
        <w:jc w:val="center"/>
        <w:rPr>
          <w:rFonts w:ascii="仿宋_GB2312" w:hAnsi="仿宋_GB2312" w:eastAsia="仿宋_GB2312" w:cs="仿宋_GB2312"/>
          <w:b/>
          <w:color w:val="000000" w:themeColor="text1"/>
          <w:sz w:val="24"/>
          <w:highlight w:val="none"/>
          <w14:textFill>
            <w14:solidFill>
              <w14:schemeClr w14:val="tx1"/>
            </w14:solidFill>
          </w14:textFill>
        </w:rPr>
      </w:pPr>
    </w:p>
    <w:tbl>
      <w:tblPr>
        <w:tblStyle w:val="28"/>
        <w:tblW w:w="9514" w:type="dxa"/>
        <w:tblInd w:w="0" w:type="dxa"/>
        <w:tblLayout w:type="fixed"/>
        <w:tblCellMar>
          <w:top w:w="0" w:type="dxa"/>
          <w:left w:w="108" w:type="dxa"/>
          <w:bottom w:w="0" w:type="dxa"/>
          <w:right w:w="108" w:type="dxa"/>
        </w:tblCellMar>
      </w:tblPr>
      <w:tblGrid>
        <w:gridCol w:w="2818"/>
        <w:gridCol w:w="6696"/>
      </w:tblGrid>
      <w:tr w14:paraId="775E021B">
        <w:tblPrEx>
          <w:tblCellMar>
            <w:top w:w="0" w:type="dxa"/>
            <w:left w:w="108" w:type="dxa"/>
            <w:bottom w:w="0" w:type="dxa"/>
            <w:right w:w="108" w:type="dxa"/>
          </w:tblCellMar>
        </w:tblPrEx>
        <w:trPr>
          <w:trHeight w:val="886" w:hRule="atLeast"/>
        </w:trPr>
        <w:tc>
          <w:tcPr>
            <w:tcW w:w="2818" w:type="dxa"/>
            <w:tcBorders>
              <w:top w:val="single" w:color="auto" w:sz="4" w:space="0"/>
              <w:left w:val="single" w:color="auto" w:sz="4" w:space="0"/>
              <w:bottom w:val="single" w:color="auto" w:sz="4" w:space="0"/>
              <w:right w:val="single" w:color="auto" w:sz="4" w:space="0"/>
            </w:tcBorders>
            <w:vAlign w:val="center"/>
          </w:tcPr>
          <w:p w14:paraId="22D56D31">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采购项目名称</w:t>
            </w:r>
          </w:p>
        </w:tc>
        <w:tc>
          <w:tcPr>
            <w:tcW w:w="6696" w:type="dxa"/>
            <w:tcBorders>
              <w:top w:val="single" w:color="auto" w:sz="4" w:space="0"/>
              <w:left w:val="nil"/>
              <w:bottom w:val="single" w:color="auto" w:sz="4" w:space="0"/>
              <w:right w:val="single" w:color="auto" w:sz="4" w:space="0"/>
            </w:tcBorders>
            <w:vAlign w:val="center"/>
          </w:tcPr>
          <w:p w14:paraId="26ACAE83">
            <w:pPr>
              <w:ind w:right="31" w:rightChars="15"/>
              <w:jc w:val="center"/>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eastAsia="zh-CN"/>
                <w14:textFill>
                  <w14:solidFill>
                    <w14:schemeClr w14:val="tx1"/>
                  </w14:solidFill>
                </w14:textFill>
              </w:rPr>
              <w:t>隆润朗景台项目“建筑工程施工人员团体人身意外伤害保险”服务采购</w:t>
            </w:r>
          </w:p>
        </w:tc>
      </w:tr>
      <w:tr w14:paraId="5B47C43E">
        <w:tblPrEx>
          <w:tblCellMar>
            <w:top w:w="0" w:type="dxa"/>
            <w:left w:w="108" w:type="dxa"/>
            <w:bottom w:w="0" w:type="dxa"/>
            <w:right w:w="108" w:type="dxa"/>
          </w:tblCellMar>
        </w:tblPrEx>
        <w:trPr>
          <w:trHeight w:val="681" w:hRule="atLeast"/>
        </w:trPr>
        <w:tc>
          <w:tcPr>
            <w:tcW w:w="2818" w:type="dxa"/>
            <w:tcBorders>
              <w:top w:val="single" w:color="auto" w:sz="4" w:space="0"/>
              <w:left w:val="single" w:color="auto" w:sz="4" w:space="0"/>
              <w:bottom w:val="single" w:color="auto" w:sz="4" w:space="0"/>
              <w:right w:val="single" w:color="auto" w:sz="4" w:space="0"/>
            </w:tcBorders>
            <w:vAlign w:val="center"/>
          </w:tcPr>
          <w:p w14:paraId="23ED98F3">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采购项目编号</w:t>
            </w:r>
          </w:p>
        </w:tc>
        <w:tc>
          <w:tcPr>
            <w:tcW w:w="6696" w:type="dxa"/>
            <w:tcBorders>
              <w:top w:val="single" w:color="auto" w:sz="4" w:space="0"/>
              <w:left w:val="nil"/>
              <w:bottom w:val="single" w:color="auto" w:sz="4" w:space="0"/>
              <w:right w:val="single" w:color="auto" w:sz="4" w:space="0"/>
            </w:tcBorders>
            <w:vAlign w:val="center"/>
          </w:tcPr>
          <w:p w14:paraId="6BB90BC4">
            <w:pPr>
              <w:widowControl/>
              <w:jc w:val="center"/>
              <w:rPr>
                <w:rFonts w:hint="eastAsia" w:ascii="仿宋_GB2312" w:hAnsi="仿宋_GB2312" w:eastAsia="仿宋_GB2312" w:cs="仿宋_GB2312"/>
                <w:color w:val="000000" w:themeColor="text1"/>
                <w:sz w:val="24"/>
                <w:highlight w:val="none"/>
                <w:lang w:eastAsia="zh-CN"/>
                <w14:textFill>
                  <w14:solidFill>
                    <w14:schemeClr w14:val="tx1"/>
                  </w14:solidFill>
                </w14:textFill>
              </w:rPr>
            </w:pPr>
            <w:r>
              <w:rPr>
                <w:rFonts w:hint="eastAsia" w:ascii="仿宋_GB2312" w:hAnsi="仿宋_GB2312" w:eastAsia="仿宋_GB2312" w:cs="仿宋_GB2312"/>
                <w:color w:val="000000" w:themeColor="text1"/>
                <w:sz w:val="24"/>
                <w:highlight w:val="none"/>
                <w:lang w:eastAsia="zh-CN"/>
                <w14:textFill>
                  <w14:solidFill>
                    <w14:schemeClr w14:val="tx1"/>
                  </w14:solidFill>
                </w14:textFill>
              </w:rPr>
              <w:t xml:space="preserve">LRRT-B-20241002    </w:t>
            </w:r>
          </w:p>
        </w:tc>
      </w:tr>
      <w:tr w14:paraId="01AC39B0">
        <w:tblPrEx>
          <w:tblCellMar>
            <w:top w:w="0" w:type="dxa"/>
            <w:left w:w="108" w:type="dxa"/>
            <w:bottom w:w="0" w:type="dxa"/>
            <w:right w:w="108" w:type="dxa"/>
          </w:tblCellMar>
        </w:tblPrEx>
        <w:trPr>
          <w:trHeight w:val="1015" w:hRule="atLeast"/>
        </w:trPr>
        <w:tc>
          <w:tcPr>
            <w:tcW w:w="2818" w:type="dxa"/>
            <w:tcBorders>
              <w:top w:val="single" w:color="auto" w:sz="4" w:space="0"/>
              <w:left w:val="single" w:color="auto" w:sz="4" w:space="0"/>
              <w:bottom w:val="single" w:color="auto" w:sz="4" w:space="0"/>
              <w:right w:val="single" w:color="auto" w:sz="4" w:space="0"/>
            </w:tcBorders>
            <w:vAlign w:val="center"/>
          </w:tcPr>
          <w:p w14:paraId="6926F28F">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备注</w:t>
            </w:r>
          </w:p>
        </w:tc>
        <w:tc>
          <w:tcPr>
            <w:tcW w:w="6696" w:type="dxa"/>
            <w:tcBorders>
              <w:top w:val="single" w:color="auto" w:sz="4" w:space="0"/>
              <w:left w:val="nil"/>
              <w:bottom w:val="single" w:color="auto" w:sz="4" w:space="0"/>
              <w:right w:val="single" w:color="auto" w:sz="4" w:space="0"/>
            </w:tcBorders>
            <w:vAlign w:val="center"/>
          </w:tcPr>
          <w:p w14:paraId="68F06311">
            <w:pPr>
              <w:widowControl/>
              <w:rPr>
                <w:rFonts w:ascii="仿宋_GB2312" w:hAnsi="仿宋_GB2312" w:eastAsia="仿宋_GB2312" w:cs="仿宋_GB2312"/>
                <w:color w:val="000000" w:themeColor="text1"/>
                <w:sz w:val="24"/>
                <w:highlight w:val="none"/>
                <w14:textFill>
                  <w14:solidFill>
                    <w14:schemeClr w14:val="tx1"/>
                  </w14:solidFill>
                </w14:textFill>
              </w:rPr>
            </w:pPr>
          </w:p>
        </w:tc>
      </w:tr>
      <w:tr w14:paraId="3477BDCE">
        <w:tblPrEx>
          <w:tblCellMar>
            <w:top w:w="0" w:type="dxa"/>
            <w:left w:w="108" w:type="dxa"/>
            <w:bottom w:w="0" w:type="dxa"/>
            <w:right w:w="108" w:type="dxa"/>
          </w:tblCellMar>
        </w:tblPrEx>
        <w:trPr>
          <w:trHeight w:val="1271" w:hRule="atLeast"/>
        </w:trPr>
        <w:tc>
          <w:tcPr>
            <w:tcW w:w="2818" w:type="dxa"/>
            <w:tcBorders>
              <w:top w:val="single" w:color="auto" w:sz="4" w:space="0"/>
              <w:left w:val="single" w:color="auto" w:sz="4" w:space="0"/>
              <w:bottom w:val="single" w:color="auto" w:sz="4" w:space="0"/>
              <w:right w:val="single" w:color="auto" w:sz="4" w:space="0"/>
            </w:tcBorders>
            <w:vAlign w:val="center"/>
          </w:tcPr>
          <w:p w14:paraId="1524A745">
            <w:pPr>
              <w:widowControl/>
              <w:jc w:val="center"/>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最后报价</w:t>
            </w:r>
          </w:p>
        </w:tc>
        <w:tc>
          <w:tcPr>
            <w:tcW w:w="6696" w:type="dxa"/>
            <w:tcBorders>
              <w:top w:val="single" w:color="auto" w:sz="4" w:space="0"/>
              <w:left w:val="nil"/>
              <w:bottom w:val="single" w:color="auto" w:sz="4" w:space="0"/>
              <w:right w:val="single" w:color="auto" w:sz="4" w:space="0"/>
            </w:tcBorders>
            <w:vAlign w:val="center"/>
          </w:tcPr>
          <w:p w14:paraId="452BB73E">
            <w:pPr>
              <w:widowControl/>
              <w:rPr>
                <w:rFonts w:hint="default" w:ascii="仿宋_GB2312" w:hAnsi="仿宋_GB2312" w:eastAsia="宋体" w:cs="仿宋_GB2312"/>
                <w:color w:val="000000" w:themeColor="text1"/>
                <w:sz w:val="24"/>
                <w:highlight w:val="none"/>
                <w:u w:val="single"/>
                <w:lang w:val="en-US" w:eastAsia="zh-CN"/>
                <w14:textFill>
                  <w14:solidFill>
                    <w14:schemeClr w14:val="tx1"/>
                  </w14:solidFill>
                </w14:textFill>
              </w:rPr>
            </w:pPr>
            <w:r>
              <w:rPr>
                <w:rFonts w:hint="eastAsia" w:ascii="仿宋_GB2312" w:hAnsi="仿宋_GB2312" w:cs="仿宋_GB2312"/>
                <w:color w:val="000000" w:themeColor="text1"/>
                <w:sz w:val="24"/>
                <w:highlight w:val="none"/>
                <w:lang w:val="en-US" w:eastAsia="zh-CN"/>
                <w14:textFill>
                  <w14:solidFill>
                    <w14:schemeClr w14:val="tx1"/>
                  </w14:solidFill>
                </w14:textFill>
              </w:rPr>
              <w:t>小写：</w:t>
            </w:r>
            <w:r>
              <w:rPr>
                <w:rFonts w:hint="eastAsia" w:ascii="仿宋_GB2312" w:hAnsi="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highlight w:val="none"/>
                <w:u w:val="none"/>
                <w:lang w:val="en-US" w:eastAsia="zh-CN"/>
                <w14:textFill>
                  <w14:solidFill>
                    <w14:schemeClr w14:val="tx1"/>
                  </w14:solidFill>
                </w14:textFill>
              </w:rPr>
              <w:t>元，（大写：</w:t>
            </w:r>
            <w:r>
              <w:rPr>
                <w:rFonts w:hint="eastAsia" w:ascii="仿宋_GB2312" w:hAnsi="仿宋_GB2312" w:cs="仿宋_GB2312"/>
                <w:color w:val="000000" w:themeColor="text1"/>
                <w:sz w:val="24"/>
                <w:highlight w:val="none"/>
                <w:u w:val="single"/>
                <w:lang w:val="en-US" w:eastAsia="zh-CN"/>
                <w14:textFill>
                  <w14:solidFill>
                    <w14:schemeClr w14:val="tx1"/>
                  </w14:solidFill>
                </w14:textFill>
              </w:rPr>
              <w:t xml:space="preserve">                           </w:t>
            </w:r>
            <w:r>
              <w:rPr>
                <w:rFonts w:hint="eastAsia" w:ascii="仿宋_GB2312" w:hAnsi="仿宋_GB2312" w:cs="仿宋_GB2312"/>
                <w:color w:val="000000" w:themeColor="text1"/>
                <w:sz w:val="24"/>
                <w:highlight w:val="none"/>
                <w:u w:val="none"/>
                <w:lang w:val="en-US" w:eastAsia="zh-CN"/>
                <w14:textFill>
                  <w14:solidFill>
                    <w14:schemeClr w14:val="tx1"/>
                  </w14:solidFill>
                </w14:textFill>
              </w:rPr>
              <w:t>）</w:t>
            </w:r>
          </w:p>
        </w:tc>
      </w:tr>
    </w:tbl>
    <w:p w14:paraId="7F310585">
      <w:pPr>
        <w:ind w:left="840" w:hanging="840" w:hangingChars="3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注：1. 报价应是最终用户验收合格后的总价，包括但不限于</w:t>
      </w:r>
      <w:r>
        <w:rPr>
          <w:rFonts w:hint="eastAsia" w:ascii="仿宋_GB2312" w:hAnsi="仿宋_GB2312" w:eastAsia="仿宋_GB2312" w:cs="仿宋_GB2312"/>
          <w:color w:val="000000" w:themeColor="text1"/>
          <w:kern w:val="0"/>
          <w:sz w:val="24"/>
          <w:highlight w:val="none"/>
          <w14:textFill>
            <w14:solidFill>
              <w14:schemeClr w14:val="tx1"/>
            </w14:solidFill>
          </w14:textFill>
        </w:rPr>
        <w:t>人工、材料、交通、税费</w:t>
      </w:r>
      <w:r>
        <w:rPr>
          <w:rFonts w:hint="eastAsia" w:ascii="仿宋_GB2312" w:hAnsi="仿宋_GB2312" w:eastAsia="仿宋_GB2312" w:cs="仿宋_GB2312"/>
          <w:color w:val="000000" w:themeColor="text1"/>
          <w:sz w:val="24"/>
          <w:highlight w:val="none"/>
          <w14:textFill>
            <w14:solidFill>
              <w14:schemeClr w14:val="tx1"/>
            </w14:solidFill>
          </w14:textFill>
        </w:rPr>
        <w:t>和谈判文件规定的其它费用。</w:t>
      </w:r>
    </w:p>
    <w:p w14:paraId="4EA2AE1E">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2.“最后报价表”为多页的，每页均需由法定代表人或授权代表签字或加盖公章。</w:t>
      </w:r>
    </w:p>
    <w:p w14:paraId="1CEDA01F">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 表格内容格式不限，供应商可以自行拟定。</w:t>
      </w:r>
    </w:p>
    <w:p w14:paraId="2B8D1670">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4.最后报价与报价表有变动的，供应商可以列出具体变动的单价及相关内容；未具体列明变动的单价及相关内容的，所有单价与最后报价同比例变动。</w:t>
      </w:r>
    </w:p>
    <w:p w14:paraId="39E6721E">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p>
    <w:p w14:paraId="0A2660B0">
      <w:pPr>
        <w:ind w:left="780" w:leftChars="200" w:hanging="360" w:hangingChars="150"/>
        <w:jc w:val="left"/>
        <w:rPr>
          <w:rFonts w:ascii="仿宋_GB2312" w:hAnsi="仿宋_GB2312" w:eastAsia="仿宋_GB2312" w:cs="仿宋_GB2312"/>
          <w:color w:val="000000" w:themeColor="text1"/>
          <w:sz w:val="24"/>
          <w:highlight w:val="none"/>
          <w14:textFill>
            <w14:solidFill>
              <w14:schemeClr w14:val="tx1"/>
            </w14:solidFill>
          </w14:textFill>
        </w:rPr>
      </w:pPr>
    </w:p>
    <w:p w14:paraId="24E0CACC">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供应商名称：XXXX（单位盖章）。</w:t>
      </w:r>
    </w:p>
    <w:p w14:paraId="6E0D5447">
      <w:pPr>
        <w:widowControl/>
        <w:spacing w:line="360" w:lineRule="atLeast"/>
        <w:ind w:firstLine="470" w:firstLineChars="196"/>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法定代表人或授权代表（签字或加盖个人名章）：XXXX。</w:t>
      </w:r>
    </w:p>
    <w:p w14:paraId="00ACB892">
      <w:pPr>
        <w:ind w:firstLine="480" w:firstLineChars="20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日    期: XXXX。</w:t>
      </w:r>
      <w:r>
        <w:rPr>
          <w:rFonts w:hint="eastAsia" w:ascii="仿宋_GB2312" w:hAnsi="仿宋_GB2312" w:eastAsia="仿宋_GB2312" w:cs="仿宋_GB2312"/>
          <w:color w:val="000000" w:themeColor="text1"/>
          <w:sz w:val="24"/>
          <w:highlight w:val="none"/>
          <w:u w:val="single"/>
          <w14:textFill>
            <w14:solidFill>
              <w14:schemeClr w14:val="tx1"/>
            </w14:solidFill>
          </w14:textFill>
        </w:rPr>
        <w:t xml:space="preserve">                 </w:t>
      </w:r>
    </w:p>
    <w:p w14:paraId="7AC2682E">
      <w:pPr>
        <w:rPr>
          <w:rFonts w:ascii="仿宋_GB2312" w:hAnsi="仿宋_GB2312" w:eastAsia="仿宋_GB2312" w:cs="仿宋_GB2312"/>
          <w:color w:val="000000" w:themeColor="text1"/>
          <w:sz w:val="24"/>
          <w:highlight w:val="none"/>
          <w14:textFill>
            <w14:solidFill>
              <w14:schemeClr w14:val="tx1"/>
            </w14:solidFill>
          </w14:textFill>
        </w:rPr>
      </w:pPr>
    </w:p>
    <w:p w14:paraId="29F70580">
      <w:pPr>
        <w:pStyle w:val="41"/>
        <w:rPr>
          <w:rFonts w:ascii="仿宋_GB2312" w:hAnsi="仿宋_GB2312" w:eastAsia="仿宋_GB2312" w:cs="仿宋_GB2312"/>
          <w:color w:val="000000" w:themeColor="text1"/>
          <w:sz w:val="32"/>
          <w:szCs w:val="32"/>
          <w:highlight w:val="none"/>
          <w14:textFill>
            <w14:solidFill>
              <w14:schemeClr w14:val="tx1"/>
            </w14:solidFill>
          </w14:textFill>
        </w:rPr>
      </w:pPr>
      <w:bookmarkStart w:id="80" w:name="_Toc513"/>
      <w:bookmarkStart w:id="81" w:name="_Toc45"/>
      <w:bookmarkStart w:id="82" w:name="_Toc11563"/>
      <w:r>
        <w:rPr>
          <w:rFonts w:hint="eastAsia" w:ascii="仿宋_GB2312" w:hAnsi="仿宋_GB2312" w:eastAsia="仿宋_GB2312" w:cs="仿宋_GB2312"/>
          <w:color w:val="000000" w:themeColor="text1"/>
          <w:kern w:val="0"/>
          <w:sz w:val="24"/>
          <w:szCs w:val="24"/>
          <w:highlight w:val="none"/>
          <w14:textFill>
            <w14:solidFill>
              <w14:schemeClr w14:val="tx1"/>
            </w14:solidFill>
          </w14:textFill>
        </w:rPr>
        <w:t>温馨提示：供应商应提前准备好最后报价表及密封材料，以便在评审委员会规定的时间内进行最后报价及密封。外层密封袋应标明项目名称、项目编号、供应商名称等。</w:t>
      </w:r>
      <w:r>
        <w:rPr>
          <w:rFonts w:hint="eastAsia" w:ascii="仿宋_GB2312" w:hAnsi="仿宋_GB2312" w:eastAsia="仿宋_GB2312" w:cs="仿宋_GB2312"/>
          <w:color w:val="000000" w:themeColor="text1"/>
          <w:sz w:val="24"/>
          <w:szCs w:val="24"/>
          <w:highlight w:val="none"/>
          <w14:textFill>
            <w14:solidFill>
              <w14:schemeClr w14:val="tx1"/>
            </w14:solidFill>
          </w14:textFill>
        </w:rPr>
        <w:br w:type="page"/>
      </w:r>
      <w:bookmarkStart w:id="83" w:name="_Toc4231"/>
      <w:r>
        <w:rPr>
          <w:rFonts w:hint="eastAsia" w:ascii="仿宋_GB2312" w:hAnsi="仿宋_GB2312" w:eastAsia="仿宋_GB2312" w:cs="仿宋_GB2312"/>
          <w:b/>
          <w:bCs/>
          <w:color w:val="000000" w:themeColor="text1"/>
          <w:kern w:val="0"/>
          <w:sz w:val="32"/>
          <w:szCs w:val="32"/>
          <w:highlight w:val="none"/>
          <w:lang w:val="en-US" w:eastAsia="zh-CN" w:bidi="ar-SA"/>
          <w14:textFill>
            <w14:solidFill>
              <w14:schemeClr w14:val="tx1"/>
            </w14:solidFill>
          </w14:textFill>
        </w:rPr>
        <w:t>第四部分 采购项目服务、技术、商务要求</w:t>
      </w:r>
      <w:bookmarkEnd w:id="80"/>
      <w:bookmarkEnd w:id="81"/>
      <w:bookmarkEnd w:id="82"/>
      <w:bookmarkEnd w:id="83"/>
    </w:p>
    <w:p w14:paraId="5A542A73">
      <w:pPr>
        <w:widowControl/>
        <w:jc w:val="lef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 xml:space="preserve">一、概况 </w:t>
      </w:r>
    </w:p>
    <w:p w14:paraId="29D093E4">
      <w:pPr>
        <w:widowControl/>
        <w:ind w:firstLine="480" w:firstLineChars="200"/>
        <w:jc w:val="lef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 xml:space="preserve">1. </w:t>
      </w:r>
      <w:r>
        <w:rPr>
          <w:rFonts w:hint="eastAsia" w:ascii="仿宋" w:hAnsi="仿宋" w:eastAsia="仿宋" w:cs="仿宋"/>
          <w:color w:val="000000" w:themeColor="text1"/>
          <w:kern w:val="0"/>
          <w:sz w:val="24"/>
          <w:highlight w:val="none"/>
          <w:lang w:val="en-US" w:eastAsia="zh-CN" w:bidi="ar"/>
          <w14:textFill>
            <w14:solidFill>
              <w14:schemeClr w14:val="tx1"/>
            </w14:solidFill>
          </w14:textFill>
        </w:rPr>
        <w:t>项目名称</w:t>
      </w:r>
      <w:r>
        <w:rPr>
          <w:rFonts w:hint="eastAsia" w:ascii="仿宋" w:hAnsi="仿宋" w:eastAsia="仿宋" w:cs="仿宋"/>
          <w:color w:val="000000" w:themeColor="text1"/>
          <w:kern w:val="0"/>
          <w:sz w:val="24"/>
          <w:highlight w:val="none"/>
          <w:lang w:bidi="ar"/>
          <w14:textFill>
            <w14:solidFill>
              <w14:schemeClr w14:val="tx1"/>
            </w14:solidFill>
          </w14:textFill>
        </w:rPr>
        <w:t xml:space="preserve"> ：</w:t>
      </w:r>
      <w:r>
        <w:rPr>
          <w:rFonts w:hint="eastAsia" w:ascii="仿宋_GB2312" w:hAnsi="仿宋_GB2312" w:eastAsia="仿宋_GB2312" w:cs="仿宋_GB2312"/>
          <w:color w:val="000000" w:themeColor="text1"/>
          <w:sz w:val="24"/>
          <w:highlight w:val="none"/>
          <w:lang w:eastAsia="zh-CN"/>
          <w14:textFill>
            <w14:solidFill>
              <w14:schemeClr w14:val="tx1"/>
            </w14:solidFill>
          </w14:textFill>
        </w:rPr>
        <w:t>隆润朗景台项目“建筑工程施工人员团体人身意外伤害保险”服务采购</w:t>
      </w:r>
    </w:p>
    <w:p w14:paraId="6E18C2BB">
      <w:pPr>
        <w:widowControl/>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二、</w:t>
      </w: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(技术)服务要求</w:t>
      </w:r>
      <w:r>
        <w:rPr>
          <w:rFonts w:hint="eastAsia" w:ascii="仿宋" w:hAnsi="仿宋" w:eastAsia="仿宋" w:cs="仿宋"/>
          <w:color w:val="000000" w:themeColor="text1"/>
          <w:kern w:val="0"/>
          <w:sz w:val="24"/>
          <w:highlight w:val="none"/>
          <w:lang w:bidi="ar"/>
          <w14:textFill>
            <w14:solidFill>
              <w14:schemeClr w14:val="tx1"/>
            </w14:solidFill>
          </w14:textFill>
        </w:rPr>
        <w:t xml:space="preserve"> ：</w:t>
      </w:r>
    </w:p>
    <w:p w14:paraId="4ACD165E">
      <w:pPr>
        <w:widowControl/>
        <w:numPr>
          <w:ilvl w:val="0"/>
          <w:numId w:val="0"/>
        </w:numPr>
        <w:ind w:firstLine="480" w:firstLineChars="200"/>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此次采购保险服务所险涉及项目为隆润朗景台项目，其合同价为328149000.00元。</w:t>
      </w:r>
    </w:p>
    <w:tbl>
      <w:tblPr>
        <w:tblStyle w:val="28"/>
        <w:tblpPr w:leftFromText="180" w:rightFromText="180" w:vertAnchor="text" w:horzAnchor="page" w:tblpXSpec="center" w:tblpY="218"/>
        <w:tblOverlap w:val="never"/>
        <w:tblW w:w="9032" w:type="dxa"/>
        <w:jc w:val="center"/>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1810"/>
        <w:gridCol w:w="1288"/>
        <w:gridCol w:w="2024"/>
        <w:gridCol w:w="1853"/>
        <w:gridCol w:w="2057"/>
      </w:tblGrid>
      <w:tr w14:paraId="3F78DE0B">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18" w:hRule="atLeast"/>
          <w:jc w:val="center"/>
        </w:trPr>
        <w:tc>
          <w:tcPr>
            <w:tcW w:w="9032" w:type="dxa"/>
            <w:gridSpan w:val="5"/>
            <w:tcBorders>
              <w:left w:val="single" w:color="000000" w:sz="4" w:space="0"/>
              <w:bottom w:val="single" w:color="000000" w:sz="4" w:space="0"/>
            </w:tcBorders>
            <w:noWrap w:val="0"/>
            <w:vAlign w:val="center"/>
          </w:tcPr>
          <w:p w14:paraId="5E056F1B">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建筑工程施工人员团体人身意外伤害保险服务要求</w:t>
            </w:r>
          </w:p>
        </w:tc>
      </w:tr>
      <w:tr w14:paraId="40DDA923">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6975" w:type="dxa"/>
            <w:gridSpan w:val="4"/>
            <w:tcBorders>
              <w:left w:val="single" w:color="000000" w:sz="4" w:space="0"/>
              <w:bottom w:val="single" w:color="000000" w:sz="4" w:space="0"/>
              <w:right w:val="single" w:color="000000" w:sz="4" w:space="0"/>
            </w:tcBorders>
            <w:noWrap w:val="0"/>
            <w:vAlign w:val="center"/>
          </w:tcPr>
          <w:p w14:paraId="6A1D4144">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服务内容</w:t>
            </w:r>
          </w:p>
        </w:tc>
        <w:tc>
          <w:tcPr>
            <w:tcW w:w="2057" w:type="dxa"/>
            <w:vMerge w:val="restart"/>
            <w:tcBorders>
              <w:left w:val="single" w:color="000000" w:sz="4" w:space="0"/>
            </w:tcBorders>
            <w:noWrap w:val="0"/>
            <w:vAlign w:val="center"/>
          </w:tcPr>
          <w:p w14:paraId="79C5872C">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保费（元）含税</w:t>
            </w:r>
          </w:p>
        </w:tc>
      </w:tr>
      <w:tr w14:paraId="10F9DEF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810" w:type="dxa"/>
            <w:tcBorders>
              <w:top w:val="single" w:color="000000" w:sz="4" w:space="0"/>
              <w:left w:val="single" w:color="000000" w:sz="4" w:space="0"/>
              <w:bottom w:val="single" w:color="000000" w:sz="4" w:space="0"/>
              <w:right w:val="single" w:color="000000" w:sz="4" w:space="0"/>
            </w:tcBorders>
            <w:noWrap w:val="0"/>
            <w:vAlign w:val="center"/>
          </w:tcPr>
          <w:p w14:paraId="5C853514">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人身伤亡</w:t>
            </w:r>
          </w:p>
        </w:tc>
        <w:tc>
          <w:tcPr>
            <w:tcW w:w="1288" w:type="dxa"/>
            <w:tcBorders>
              <w:top w:val="single" w:color="000000" w:sz="4" w:space="0"/>
              <w:left w:val="single" w:color="000000" w:sz="4" w:space="0"/>
              <w:bottom w:val="single" w:color="000000" w:sz="4" w:space="0"/>
              <w:right w:val="single" w:color="000000" w:sz="4" w:space="0"/>
            </w:tcBorders>
            <w:noWrap w:val="0"/>
            <w:vAlign w:val="center"/>
          </w:tcPr>
          <w:p w14:paraId="1751969F">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医疗费用</w:t>
            </w:r>
          </w:p>
        </w:tc>
        <w:tc>
          <w:tcPr>
            <w:tcW w:w="2024" w:type="dxa"/>
            <w:tcBorders>
              <w:top w:val="single" w:color="000000" w:sz="4" w:space="0"/>
              <w:left w:val="single" w:color="000000" w:sz="4" w:space="0"/>
              <w:bottom w:val="single" w:color="000000" w:sz="4" w:space="0"/>
              <w:right w:val="single" w:color="000000" w:sz="4" w:space="0"/>
            </w:tcBorders>
            <w:noWrap w:val="0"/>
            <w:vAlign w:val="center"/>
          </w:tcPr>
          <w:p w14:paraId="6C4B6274">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住院津贴</w:t>
            </w:r>
          </w:p>
        </w:tc>
        <w:tc>
          <w:tcPr>
            <w:tcW w:w="1853" w:type="dxa"/>
            <w:tcBorders>
              <w:top w:val="single" w:color="000000" w:sz="4" w:space="0"/>
              <w:left w:val="single" w:color="000000" w:sz="4" w:space="0"/>
              <w:bottom w:val="single" w:color="000000" w:sz="4" w:space="0"/>
              <w:right w:val="single" w:color="000000" w:sz="4" w:space="0"/>
            </w:tcBorders>
            <w:noWrap w:val="0"/>
            <w:vAlign w:val="center"/>
          </w:tcPr>
          <w:p w14:paraId="18F4195F">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医疗免赔</w:t>
            </w:r>
          </w:p>
        </w:tc>
        <w:tc>
          <w:tcPr>
            <w:tcW w:w="2057" w:type="dxa"/>
            <w:vMerge w:val="continue"/>
            <w:tcBorders>
              <w:left w:val="single" w:color="000000" w:sz="4" w:space="0"/>
              <w:bottom w:val="single" w:color="000000" w:sz="4" w:space="0"/>
            </w:tcBorders>
            <w:noWrap w:val="0"/>
            <w:vAlign w:val="center"/>
          </w:tcPr>
          <w:p w14:paraId="4A1C8DB9">
            <w:pPr>
              <w:widowControl/>
              <w:jc w:val="center"/>
              <w:rPr>
                <w:rFonts w:hint="eastAsia" w:ascii="仿宋" w:hAnsi="仿宋" w:eastAsia="仿宋" w:cs="仿宋"/>
                <w:color w:val="000000" w:themeColor="text1"/>
                <w:kern w:val="0"/>
                <w:sz w:val="24"/>
                <w:highlight w:val="none"/>
                <w:lang w:bidi="ar"/>
                <w14:textFill>
                  <w14:solidFill>
                    <w14:schemeClr w14:val="tx1"/>
                  </w14:solidFill>
                </w14:textFill>
              </w:rPr>
            </w:pPr>
          </w:p>
        </w:tc>
      </w:tr>
      <w:tr w14:paraId="244E6EF5">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48" w:hRule="atLeast"/>
          <w:jc w:val="center"/>
        </w:trPr>
        <w:tc>
          <w:tcPr>
            <w:tcW w:w="1810" w:type="dxa"/>
            <w:tcBorders>
              <w:top w:val="single" w:color="000000" w:sz="4" w:space="0"/>
              <w:left w:val="single" w:color="000000" w:sz="4" w:space="0"/>
              <w:right w:val="single" w:color="000000" w:sz="4" w:space="0"/>
            </w:tcBorders>
            <w:noWrap w:val="0"/>
            <w:vAlign w:val="center"/>
          </w:tcPr>
          <w:p w14:paraId="603CD4F5">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50万元</w:t>
            </w:r>
          </w:p>
        </w:tc>
        <w:tc>
          <w:tcPr>
            <w:tcW w:w="1288" w:type="dxa"/>
            <w:tcBorders>
              <w:top w:val="single" w:color="000000" w:sz="4" w:space="0"/>
              <w:left w:val="single" w:color="000000" w:sz="4" w:space="0"/>
              <w:right w:val="single" w:color="000000" w:sz="4" w:space="0"/>
            </w:tcBorders>
            <w:noWrap w:val="0"/>
            <w:vAlign w:val="center"/>
          </w:tcPr>
          <w:p w14:paraId="7AA68BAC">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5万元</w:t>
            </w:r>
          </w:p>
        </w:tc>
        <w:tc>
          <w:tcPr>
            <w:tcW w:w="2024" w:type="dxa"/>
            <w:tcBorders>
              <w:top w:val="single" w:color="000000" w:sz="4" w:space="0"/>
              <w:left w:val="single" w:color="000000" w:sz="4" w:space="0"/>
              <w:right w:val="single" w:color="000000" w:sz="4" w:space="0"/>
            </w:tcBorders>
            <w:noWrap w:val="0"/>
            <w:vAlign w:val="center"/>
          </w:tcPr>
          <w:p w14:paraId="731BB910">
            <w:pPr>
              <w:widowControl/>
              <w:jc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每日津贴给付标准100元，每次免赔日数3日，每次最高给付津贴日数60日，总给付日数180日。</w:t>
            </w:r>
          </w:p>
        </w:tc>
        <w:tc>
          <w:tcPr>
            <w:tcW w:w="1853" w:type="dxa"/>
            <w:tcBorders>
              <w:top w:val="single" w:color="000000" w:sz="4" w:space="0"/>
              <w:left w:val="single" w:color="000000" w:sz="4" w:space="0"/>
              <w:right w:val="single" w:color="000000" w:sz="4" w:space="0"/>
            </w:tcBorders>
            <w:noWrap w:val="0"/>
            <w:vAlign w:val="center"/>
          </w:tcPr>
          <w:p w14:paraId="49FD5907">
            <w:pPr>
              <w:keepNext w:val="0"/>
              <w:keepLines w:val="0"/>
              <w:widowControl/>
              <w:suppressLineNumbers w:val="0"/>
              <w:jc w:val="center"/>
              <w:textAlignment w:val="center"/>
              <w:rPr>
                <w:rFonts w:hint="eastAsia" w:ascii="仿宋" w:hAnsi="仿宋" w:eastAsia="仿宋" w:cs="仿宋"/>
                <w:color w:val="000000" w:themeColor="text1"/>
                <w:kern w:val="0"/>
                <w:sz w:val="24"/>
                <w:highlight w:val="none"/>
                <w:lang w:val="en-US" w:eastAsia="zh-CN" w:bidi="ar"/>
                <w14:textFill>
                  <w14:solidFill>
                    <w14:schemeClr w14:val="tx1"/>
                  </w14:solidFill>
                </w14:textFill>
              </w:rPr>
            </w:pPr>
            <w:r>
              <w:rPr>
                <w:rFonts w:hint="eastAsia" w:ascii="仿宋" w:hAnsi="仿宋" w:eastAsia="仿宋" w:cs="仿宋"/>
                <w:color w:val="000000" w:themeColor="text1"/>
                <w:kern w:val="0"/>
                <w:sz w:val="24"/>
                <w:highlight w:val="none"/>
                <w:lang w:val="en-US" w:eastAsia="zh-CN" w:bidi="ar"/>
                <w14:textFill>
                  <w14:solidFill>
                    <w14:schemeClr w14:val="tx1"/>
                  </w14:solidFill>
                </w14:textFill>
              </w:rPr>
              <w:t>门诊限额500元，每次事故免赔额100元，给付比例90%</w:t>
            </w:r>
          </w:p>
        </w:tc>
        <w:tc>
          <w:tcPr>
            <w:tcW w:w="2057" w:type="dxa"/>
            <w:tcBorders>
              <w:top w:val="single" w:color="000000" w:sz="4" w:space="0"/>
              <w:left w:val="single" w:color="000000" w:sz="4" w:space="0"/>
            </w:tcBorders>
            <w:noWrap w:val="0"/>
            <w:vAlign w:val="center"/>
          </w:tcPr>
          <w:p w14:paraId="6E1B5BFA">
            <w:pPr>
              <w:widowControl/>
              <w:jc w:val="center"/>
              <w:rPr>
                <w:rFonts w:hint="default" w:ascii="仿宋" w:hAnsi="仿宋" w:eastAsia="仿宋" w:cs="仿宋"/>
                <w:color w:val="000000" w:themeColor="text1"/>
                <w:kern w:val="0"/>
                <w:sz w:val="24"/>
                <w:highlight w:val="none"/>
                <w:lang w:val="en-US" w:eastAsia="zh-CN" w:bidi="ar"/>
                <w14:textFill>
                  <w14:solidFill>
                    <w14:schemeClr w14:val="tx1"/>
                  </w14:solidFill>
                </w14:textFill>
              </w:rPr>
            </w:pPr>
          </w:p>
        </w:tc>
      </w:tr>
    </w:tbl>
    <w:p w14:paraId="45AD4BC4">
      <w:pPr>
        <w:widowControl/>
        <w:jc w:val="left"/>
        <w:rPr>
          <w:rFonts w:hint="eastAsia" w:ascii="仿宋" w:hAnsi="仿宋" w:eastAsia="仿宋" w:cs="仿宋"/>
          <w:color w:val="000000" w:themeColor="text1"/>
          <w:kern w:val="0"/>
          <w:sz w:val="24"/>
          <w:highlight w:val="none"/>
          <w:lang w:bidi="ar"/>
          <w14:textFill>
            <w14:solidFill>
              <w14:schemeClr w14:val="tx1"/>
            </w14:solidFill>
          </w14:textFill>
        </w:rPr>
      </w:pPr>
    </w:p>
    <w:p w14:paraId="4EB8DF21">
      <w:pPr>
        <w:pStyle w:val="9"/>
        <w:spacing w:line="400" w:lineRule="exact"/>
        <w:ind w:left="-363" w:leftChars="-173" w:firstLine="366" w:firstLineChars="152"/>
        <w:rPr>
          <w:rFonts w:ascii="仿宋_GB2312" w:hAnsi="仿宋_GB2312" w:eastAsia="仿宋_GB2312" w:cs="仿宋_GB2312"/>
          <w:b/>
          <w:color w:val="000000" w:themeColor="text1"/>
          <w:sz w:val="24"/>
          <w:szCs w:val="24"/>
          <w:highlight w:val="none"/>
          <w14:textFill>
            <w14:solidFill>
              <w14:schemeClr w14:val="tx1"/>
            </w14:solidFill>
          </w14:textFill>
        </w:rPr>
      </w:pPr>
      <w:r>
        <w:rPr>
          <w:rFonts w:hint="eastAsia" w:ascii="仿宋_GB2312" w:hAnsi="仿宋_GB2312" w:eastAsia="仿宋_GB2312" w:cs="仿宋_GB2312"/>
          <w:b/>
          <w:color w:val="000000" w:themeColor="text1"/>
          <w:sz w:val="24"/>
          <w:szCs w:val="24"/>
          <w:highlight w:val="none"/>
          <w:lang w:val="en-US" w:eastAsia="zh-CN"/>
          <w14:textFill>
            <w14:solidFill>
              <w14:schemeClr w14:val="tx1"/>
            </w14:solidFill>
          </w14:textFill>
        </w:rPr>
        <w:t>三</w:t>
      </w:r>
      <w:r>
        <w:rPr>
          <w:rFonts w:hint="eastAsia" w:ascii="仿宋_GB2312" w:hAnsi="仿宋_GB2312" w:eastAsia="仿宋_GB2312" w:cs="仿宋_GB2312"/>
          <w:b/>
          <w:color w:val="000000" w:themeColor="text1"/>
          <w:sz w:val="24"/>
          <w:szCs w:val="24"/>
          <w:highlight w:val="none"/>
          <w14:textFill>
            <w14:solidFill>
              <w14:schemeClr w14:val="tx1"/>
            </w14:solidFill>
          </w14:textFill>
        </w:rPr>
        <w:t>、商务要求</w:t>
      </w:r>
    </w:p>
    <w:p w14:paraId="62E5E461">
      <w:pPr>
        <w:pStyle w:val="9"/>
        <w:spacing w:line="400" w:lineRule="exact"/>
        <w:ind w:firstLine="0"/>
        <w:rPr>
          <w:rFonts w:hint="eastAsia"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bCs/>
          <w:color w:val="000000" w:themeColor="text1"/>
          <w:sz w:val="24"/>
          <w:highlight w:val="none"/>
          <w14:textFill>
            <w14:solidFill>
              <w14:schemeClr w14:val="tx1"/>
            </w14:solidFill>
          </w14:textFill>
        </w:rPr>
        <w:t>1.履约地点</w:t>
      </w:r>
      <w:r>
        <w:rPr>
          <w:rFonts w:hint="eastAsia" w:ascii="仿宋_GB2312" w:hAnsi="仿宋_GB2312" w:eastAsia="仿宋_GB2312" w:cs="仿宋_GB2312"/>
          <w:color w:val="000000" w:themeColor="text1"/>
          <w:sz w:val="24"/>
          <w:highlight w:val="none"/>
          <w14:textFill>
            <w14:solidFill>
              <w14:schemeClr w14:val="tx1"/>
            </w14:solidFill>
          </w14:textFill>
        </w:rPr>
        <w:t>：隆昌市</w:t>
      </w:r>
    </w:p>
    <w:p w14:paraId="56AE8163">
      <w:pPr>
        <w:pStyle w:val="9"/>
        <w:spacing w:line="400" w:lineRule="exact"/>
        <w:ind w:firstLine="0"/>
        <w:rPr>
          <w:rFonts w:hint="default" w:ascii="仿宋_GB2312" w:hAnsi="仿宋_GB2312" w:eastAsia="仿宋_GB2312" w:cs="仿宋_GB2312"/>
          <w:color w:val="000000" w:themeColor="text1"/>
          <w:sz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服务时间或供货时间：合同签订之日起至2027年4月30日</w:t>
      </w:r>
    </w:p>
    <w:p w14:paraId="5B56D754">
      <w:pPr>
        <w:pStyle w:val="9"/>
        <w:spacing w:line="400" w:lineRule="exact"/>
        <w:ind w:firstLine="0"/>
        <w:jc w:val="left"/>
        <w:rPr>
          <w:rFonts w:hint="default" w:ascii="仿宋_GB2312" w:hAnsi="仿宋_GB2312" w:eastAsia="仿宋_GB2312" w:cs="仿宋_GB2312"/>
          <w:color w:val="000000" w:themeColor="text1"/>
          <w:sz w:val="24"/>
          <w:szCs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3.付款方式：以最终采购人与中选供应商签订的</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服务</w:t>
      </w:r>
      <w:r>
        <w:rPr>
          <w:rFonts w:hint="eastAsia" w:ascii="仿宋_GB2312" w:hAnsi="仿宋_GB2312" w:eastAsia="仿宋_GB2312" w:cs="仿宋_GB2312"/>
          <w:color w:val="000000" w:themeColor="text1"/>
          <w:sz w:val="24"/>
          <w:highlight w:val="none"/>
          <w14:textFill>
            <w14:solidFill>
              <w14:schemeClr w14:val="tx1"/>
            </w14:solidFill>
          </w14:textFill>
        </w:rPr>
        <w:t>合同条款为准。</w:t>
      </w:r>
    </w:p>
    <w:p w14:paraId="71DEAB29">
      <w:pPr>
        <w:pStyle w:val="9"/>
        <w:spacing w:line="400" w:lineRule="exact"/>
        <w:ind w:firstLine="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4.验收</w:t>
      </w:r>
      <w:r>
        <w:rPr>
          <w:rFonts w:hint="eastAsia" w:ascii="仿宋_GB2312" w:hAnsi="仿宋_GB2312" w:eastAsia="仿宋_GB2312" w:cs="仿宋_GB2312"/>
          <w:color w:val="000000" w:themeColor="text1"/>
          <w:sz w:val="24"/>
          <w:highlight w:val="none"/>
          <w:lang w:val="en-US" w:eastAsia="zh-CN"/>
          <w14:textFill>
            <w14:solidFill>
              <w14:schemeClr w14:val="tx1"/>
            </w14:solidFill>
          </w14:textFill>
        </w:rPr>
        <w:t>标准</w:t>
      </w:r>
      <w:r>
        <w:rPr>
          <w:rFonts w:hint="eastAsia" w:ascii="仿宋_GB2312" w:hAnsi="仿宋_GB2312" w:eastAsia="仿宋_GB2312" w:cs="仿宋_GB2312"/>
          <w:color w:val="000000" w:themeColor="text1"/>
          <w:sz w:val="24"/>
          <w:highlight w:val="none"/>
          <w14:textFill>
            <w14:solidFill>
              <w14:schemeClr w14:val="tx1"/>
            </w14:solidFill>
          </w14:textFill>
        </w:rPr>
        <w:t>：符合国家法律法规及行业标准相关要求。</w:t>
      </w:r>
    </w:p>
    <w:p w14:paraId="5B603EA7">
      <w:pPr>
        <w:pStyle w:val="9"/>
        <w:spacing w:line="400" w:lineRule="exact"/>
        <w:ind w:firstLine="0"/>
        <w:rPr>
          <w:rFonts w:ascii="仿宋_GB2312" w:hAnsi="仿宋_GB2312" w:eastAsia="仿宋_GB2312" w:cs="仿宋_GB2312"/>
          <w:color w:val="000000" w:themeColor="text1"/>
          <w:sz w:val="24"/>
          <w:highlight w:val="none"/>
          <w14:textFill>
            <w14:solidFill>
              <w14:schemeClr w14:val="tx1"/>
            </w14:solidFill>
          </w14:textFill>
        </w:rPr>
      </w:pPr>
    </w:p>
    <w:p w14:paraId="705CBECC">
      <w:pPr>
        <w:pStyle w:val="9"/>
        <w:spacing w:line="400" w:lineRule="exact"/>
        <w:ind w:left="-365" w:leftChars="-174" w:firstLine="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b/>
          <w:bCs/>
          <w:color w:val="000000" w:themeColor="text1"/>
          <w:sz w:val="24"/>
          <w:highlight w:val="none"/>
          <w14:textFill>
            <w14:solidFill>
              <w14:schemeClr w14:val="tx1"/>
            </w14:solidFill>
          </w14:textFill>
        </w:rPr>
        <w:t>注：</w:t>
      </w:r>
      <w:r>
        <w:rPr>
          <w:rFonts w:hint="eastAsia" w:ascii="仿宋_GB2312" w:hAnsi="仿宋_GB2312" w:eastAsia="仿宋_GB2312" w:cs="仿宋_GB2312"/>
          <w:color w:val="000000" w:themeColor="text1"/>
          <w:sz w:val="24"/>
          <w:highlight w:val="none"/>
          <w14:textFill>
            <w14:solidFill>
              <w14:schemeClr w14:val="tx1"/>
            </w14:solidFill>
          </w14:textFill>
        </w:rPr>
        <w:t>1、 本项目可以根据谈判情况实质性变动第四部分的内容。</w:t>
      </w:r>
    </w:p>
    <w:p w14:paraId="3F714160">
      <w:pPr>
        <w:pStyle w:val="9"/>
        <w:spacing w:line="400" w:lineRule="exact"/>
        <w:ind w:left="-365" w:leftChars="-174" w:firstLine="480" w:firstLineChars="200"/>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2、 本谈判文件所列要求，不应认为详细和完整，供应商应在响应文件中详细列明所提供的产品和服务的技术指标及功能等情况，并保证所提供的货物和服务不仅在设计和制作等方面符合规范和谈判文件的要求，而且能够满足有效运行的要求。</w:t>
      </w:r>
    </w:p>
    <w:p w14:paraId="2049E248">
      <w:pPr>
        <w:pStyle w:val="34"/>
        <w:rPr>
          <w:color w:val="000000" w:themeColor="text1"/>
          <w:highlight w:val="none"/>
          <w14:textFill>
            <w14:solidFill>
              <w14:schemeClr w14:val="tx1"/>
            </w14:solidFill>
          </w14:textFill>
        </w:rPr>
      </w:pPr>
    </w:p>
    <w:p w14:paraId="1E86CF42">
      <w:pPr>
        <w:pStyle w:val="41"/>
        <w:rPr>
          <w:rFonts w:ascii="仿宋_GB2312" w:hAnsi="仿宋_GB2312" w:eastAsia="仿宋_GB2312" w:cs="仿宋_GB2312"/>
          <w:color w:val="000000" w:themeColor="text1"/>
          <w:sz w:val="28"/>
          <w:szCs w:val="28"/>
          <w:highlight w:val="none"/>
          <w14:textFill>
            <w14:solidFill>
              <w14:schemeClr w14:val="tx1"/>
            </w14:solidFill>
          </w14:textFill>
        </w:rPr>
      </w:pPr>
      <w:bookmarkStart w:id="84" w:name="_Toc239822499"/>
      <w:bookmarkStart w:id="85" w:name="_Toc239822614"/>
      <w:bookmarkStart w:id="86" w:name="_Toc8578"/>
      <w:bookmarkStart w:id="87" w:name="_Toc491847665"/>
      <w:bookmarkStart w:id="88" w:name="_Toc30"/>
      <w:r>
        <w:rPr>
          <w:rFonts w:hint="eastAsia" w:ascii="仿宋_GB2312" w:hAnsi="仿宋_GB2312" w:eastAsia="仿宋_GB2312" w:cs="仿宋_GB2312"/>
          <w:color w:val="000000" w:themeColor="text1"/>
          <w:highlight w:val="none"/>
          <w14:textFill>
            <w14:solidFill>
              <w14:schemeClr w14:val="tx1"/>
            </w14:solidFill>
          </w14:textFill>
        </w:rPr>
        <w:t>第五部分 竞争性谈判</w:t>
      </w:r>
      <w:bookmarkEnd w:id="84"/>
      <w:bookmarkEnd w:id="85"/>
      <w:r>
        <w:rPr>
          <w:rFonts w:hint="eastAsia" w:ascii="仿宋_GB2312" w:hAnsi="仿宋_GB2312" w:eastAsia="仿宋_GB2312" w:cs="仿宋_GB2312"/>
          <w:color w:val="000000" w:themeColor="text1"/>
          <w:highlight w:val="none"/>
          <w14:textFill>
            <w14:solidFill>
              <w14:schemeClr w14:val="tx1"/>
            </w14:solidFill>
          </w14:textFill>
        </w:rPr>
        <w:t>评审程序和成交标准</w:t>
      </w:r>
      <w:bookmarkEnd w:id="86"/>
      <w:bookmarkEnd w:id="87"/>
      <w:bookmarkEnd w:id="88"/>
    </w:p>
    <w:p w14:paraId="59ECFC83">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89" w:name="_Toc239649759"/>
      <w:bookmarkStart w:id="90" w:name="_Toc239648595"/>
      <w:bookmarkStart w:id="91" w:name="_Toc239649307"/>
      <w:bookmarkStart w:id="92" w:name="_Toc239651314"/>
      <w:bookmarkStart w:id="93" w:name="_Toc239650595"/>
      <w:bookmarkStart w:id="94" w:name="_Toc239649383"/>
      <w:bookmarkStart w:id="95" w:name="_Toc239822500"/>
      <w:bookmarkStart w:id="96" w:name="_Toc239648861"/>
      <w:bookmarkStart w:id="97" w:name="_Toc239822615"/>
      <w:bookmarkStart w:id="98" w:name="_Toc26447938"/>
      <w:bookmarkStart w:id="99" w:name="_Toc27539"/>
      <w:bookmarkStart w:id="100" w:name="_Toc2154"/>
      <w:bookmarkStart w:id="101" w:name="_Toc491847666"/>
      <w:bookmarkStart w:id="102" w:name="_Toc2063"/>
      <w:bookmarkStart w:id="103" w:name="_Toc18413"/>
      <w:bookmarkStart w:id="104" w:name="_Toc19409"/>
      <w:bookmarkStart w:id="105" w:name="_Toc14038"/>
      <w:r>
        <w:rPr>
          <w:rFonts w:hint="eastAsia" w:ascii="仿宋_GB2312" w:hAnsi="仿宋_GB2312" w:eastAsia="仿宋_GB2312" w:cs="仿宋_GB2312"/>
          <w:b/>
          <w:color w:val="000000" w:themeColor="text1"/>
          <w:szCs w:val="24"/>
          <w:highlight w:val="none"/>
          <w14:textFill>
            <w14:solidFill>
              <w14:schemeClr w14:val="tx1"/>
            </w14:solidFill>
          </w14:textFill>
        </w:rPr>
        <w:t>1.</w:t>
      </w:r>
      <w:bookmarkEnd w:id="89"/>
      <w:bookmarkEnd w:id="90"/>
      <w:bookmarkEnd w:id="91"/>
      <w:bookmarkEnd w:id="92"/>
      <w:bookmarkEnd w:id="93"/>
      <w:bookmarkEnd w:id="94"/>
      <w:bookmarkEnd w:id="95"/>
      <w:bookmarkEnd w:id="96"/>
      <w:bookmarkEnd w:id="97"/>
      <w:r>
        <w:rPr>
          <w:rFonts w:hint="eastAsia" w:ascii="仿宋_GB2312" w:hAnsi="仿宋_GB2312" w:eastAsia="仿宋_GB2312" w:cs="仿宋_GB2312"/>
          <w:b/>
          <w:color w:val="000000" w:themeColor="text1"/>
          <w:szCs w:val="24"/>
          <w:highlight w:val="none"/>
          <w14:textFill>
            <w14:solidFill>
              <w14:schemeClr w14:val="tx1"/>
            </w14:solidFill>
          </w14:textFill>
        </w:rPr>
        <w:t>评审委员会</w:t>
      </w:r>
      <w:bookmarkEnd w:id="98"/>
      <w:bookmarkEnd w:id="99"/>
      <w:bookmarkEnd w:id="100"/>
      <w:bookmarkEnd w:id="101"/>
      <w:bookmarkEnd w:id="102"/>
      <w:bookmarkEnd w:id="103"/>
      <w:bookmarkEnd w:id="104"/>
      <w:bookmarkEnd w:id="105"/>
    </w:p>
    <w:p w14:paraId="49770E9C">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bookmarkStart w:id="106" w:name="_Toc239648862"/>
      <w:bookmarkStart w:id="107" w:name="_Toc239649308"/>
      <w:bookmarkStart w:id="108" w:name="_Toc239822616"/>
      <w:bookmarkStart w:id="109" w:name="_Toc239649760"/>
      <w:bookmarkStart w:id="110" w:name="_Toc239649384"/>
      <w:bookmarkStart w:id="111" w:name="_Toc239822501"/>
      <w:bookmarkStart w:id="112" w:name="_Toc239651315"/>
      <w:bookmarkStart w:id="113" w:name="_Toc239650596"/>
      <w:bookmarkStart w:id="114" w:name="_Toc239648596"/>
      <w:r>
        <w:rPr>
          <w:rFonts w:hint="eastAsia" w:ascii="仿宋_GB2312" w:hAnsi="仿宋_GB2312" w:eastAsia="仿宋_GB2312" w:cs="仿宋_GB2312"/>
          <w:color w:val="000000" w:themeColor="text1"/>
          <w:kern w:val="0"/>
          <w:sz w:val="24"/>
          <w:highlight w:val="none"/>
          <w14:textFill>
            <w14:solidFill>
              <w14:schemeClr w14:val="tx1"/>
            </w14:solidFill>
          </w14:textFill>
        </w:rPr>
        <w:t>评审委员会由三人及以上的单数组成，负责本次采购项目的竞争性谈判和评审工作。评审委员会在采购活动过程中，应当按照相关法律法规的规定履行职责和义务，不得违法评审、违反评审工作纪律。</w:t>
      </w:r>
    </w:p>
    <w:p w14:paraId="3C5A3C63">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115" w:name="_Toc26447939"/>
      <w:bookmarkStart w:id="116" w:name="_Toc15888"/>
      <w:bookmarkStart w:id="117" w:name="_Toc13383"/>
      <w:bookmarkStart w:id="118" w:name="_Toc21877"/>
      <w:bookmarkStart w:id="119" w:name="_Toc2749"/>
      <w:bookmarkStart w:id="120" w:name="_Toc17371"/>
      <w:bookmarkStart w:id="121" w:name="_Toc14851"/>
      <w:bookmarkStart w:id="122" w:name="_Toc491847667"/>
      <w:r>
        <w:rPr>
          <w:rFonts w:hint="eastAsia" w:ascii="仿宋_GB2312" w:hAnsi="仿宋_GB2312" w:eastAsia="仿宋_GB2312" w:cs="仿宋_GB2312"/>
          <w:b/>
          <w:color w:val="000000" w:themeColor="text1"/>
          <w:szCs w:val="24"/>
          <w:highlight w:val="none"/>
          <w14:textFill>
            <w14:solidFill>
              <w14:schemeClr w14:val="tx1"/>
            </w14:solidFill>
          </w14:textFill>
        </w:rPr>
        <w:t>2.</w:t>
      </w:r>
      <w:bookmarkEnd w:id="106"/>
      <w:bookmarkEnd w:id="107"/>
      <w:bookmarkEnd w:id="108"/>
      <w:bookmarkEnd w:id="109"/>
      <w:bookmarkEnd w:id="110"/>
      <w:bookmarkEnd w:id="111"/>
      <w:bookmarkEnd w:id="112"/>
      <w:bookmarkEnd w:id="113"/>
      <w:bookmarkEnd w:id="114"/>
      <w:r>
        <w:rPr>
          <w:rFonts w:hint="eastAsia" w:ascii="仿宋_GB2312" w:hAnsi="仿宋_GB2312" w:eastAsia="仿宋_GB2312" w:cs="仿宋_GB2312"/>
          <w:b/>
          <w:color w:val="000000" w:themeColor="text1"/>
          <w:szCs w:val="24"/>
          <w:highlight w:val="none"/>
          <w14:textFill>
            <w14:solidFill>
              <w14:schemeClr w14:val="tx1"/>
            </w14:solidFill>
          </w14:textFill>
        </w:rPr>
        <w:t>评审组织</w:t>
      </w:r>
      <w:bookmarkEnd w:id="115"/>
      <w:bookmarkEnd w:id="116"/>
      <w:bookmarkEnd w:id="117"/>
      <w:bookmarkEnd w:id="118"/>
      <w:bookmarkEnd w:id="119"/>
      <w:bookmarkEnd w:id="120"/>
      <w:bookmarkEnd w:id="121"/>
      <w:bookmarkEnd w:id="122"/>
    </w:p>
    <w:p w14:paraId="1CFF88CE">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bookmarkStart w:id="123" w:name="_Toc239649761"/>
      <w:bookmarkStart w:id="124" w:name="_Toc239650597"/>
      <w:bookmarkStart w:id="125" w:name="_Toc239649309"/>
      <w:bookmarkStart w:id="126" w:name="_Toc239648863"/>
      <w:bookmarkStart w:id="127" w:name="_Toc239822502"/>
      <w:bookmarkStart w:id="128" w:name="_Toc239648597"/>
      <w:bookmarkStart w:id="129" w:name="_Toc239822617"/>
      <w:bookmarkStart w:id="130" w:name="_Toc239649385"/>
      <w:bookmarkStart w:id="131" w:name="_Toc239651316"/>
      <w:r>
        <w:rPr>
          <w:rFonts w:hint="eastAsia" w:ascii="仿宋_GB2312" w:hAnsi="仿宋_GB2312" w:eastAsia="仿宋_GB2312" w:cs="仿宋_GB2312"/>
          <w:color w:val="000000" w:themeColor="text1"/>
          <w:kern w:val="0"/>
          <w:sz w:val="24"/>
          <w:highlight w:val="none"/>
          <w14:textFill>
            <w14:solidFill>
              <w14:schemeClr w14:val="tx1"/>
            </w14:solidFill>
          </w14:textFill>
        </w:rPr>
        <w:t>评审工作由隆润润泰建工负责组织，具体评审事务由组建的评审委员会负责。</w:t>
      </w:r>
    </w:p>
    <w:p w14:paraId="732C1FD5">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132" w:name="_Toc10464"/>
      <w:bookmarkStart w:id="133" w:name="_Toc20742"/>
      <w:bookmarkStart w:id="134" w:name="_Toc20798"/>
      <w:bookmarkStart w:id="135" w:name="_Toc23723"/>
      <w:bookmarkStart w:id="136" w:name="_Toc26447940"/>
      <w:bookmarkStart w:id="137" w:name="_Toc19188"/>
      <w:bookmarkStart w:id="138" w:name="_Toc3798"/>
      <w:bookmarkStart w:id="139" w:name="_Toc491847668"/>
      <w:r>
        <w:rPr>
          <w:rFonts w:hint="eastAsia" w:ascii="仿宋_GB2312" w:hAnsi="仿宋_GB2312" w:eastAsia="仿宋_GB2312" w:cs="仿宋_GB2312"/>
          <w:b/>
          <w:color w:val="000000" w:themeColor="text1"/>
          <w:szCs w:val="24"/>
          <w:highlight w:val="none"/>
          <w14:textFill>
            <w14:solidFill>
              <w14:schemeClr w14:val="tx1"/>
            </w14:solidFill>
          </w14:textFill>
        </w:rPr>
        <w:t>3.</w:t>
      </w:r>
      <w:bookmarkEnd w:id="123"/>
      <w:bookmarkEnd w:id="124"/>
      <w:bookmarkEnd w:id="125"/>
      <w:bookmarkEnd w:id="126"/>
      <w:bookmarkEnd w:id="127"/>
      <w:bookmarkEnd w:id="128"/>
      <w:bookmarkEnd w:id="129"/>
      <w:bookmarkEnd w:id="130"/>
      <w:bookmarkEnd w:id="131"/>
      <w:r>
        <w:rPr>
          <w:rFonts w:hint="eastAsia" w:ascii="仿宋_GB2312" w:hAnsi="仿宋_GB2312" w:eastAsia="仿宋_GB2312" w:cs="仿宋_GB2312"/>
          <w:b/>
          <w:color w:val="000000" w:themeColor="text1"/>
          <w:szCs w:val="24"/>
          <w:highlight w:val="none"/>
          <w14:textFill>
            <w14:solidFill>
              <w14:schemeClr w14:val="tx1"/>
            </w14:solidFill>
          </w14:textFill>
        </w:rPr>
        <w:t>评审程序</w:t>
      </w:r>
      <w:bookmarkEnd w:id="132"/>
      <w:bookmarkEnd w:id="133"/>
      <w:bookmarkEnd w:id="134"/>
      <w:bookmarkEnd w:id="135"/>
      <w:bookmarkEnd w:id="136"/>
      <w:bookmarkEnd w:id="137"/>
      <w:bookmarkEnd w:id="138"/>
      <w:bookmarkEnd w:id="139"/>
    </w:p>
    <w:p w14:paraId="5B1FC64E">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bookmarkStart w:id="140" w:name="_Toc239651317"/>
      <w:bookmarkStart w:id="141" w:name="_Toc239822503"/>
      <w:bookmarkStart w:id="142" w:name="_Toc239649386"/>
      <w:bookmarkStart w:id="143" w:name="_Toc239649310"/>
      <w:bookmarkStart w:id="144" w:name="_Toc239648598"/>
      <w:bookmarkStart w:id="145" w:name="_Toc239650598"/>
      <w:bookmarkStart w:id="146" w:name="_Toc239648864"/>
      <w:bookmarkStart w:id="147" w:name="_Toc239822618"/>
      <w:bookmarkStart w:id="148" w:name="_Toc239649762"/>
      <w:r>
        <w:rPr>
          <w:rFonts w:hint="eastAsia" w:ascii="仿宋_GB2312" w:hAnsi="仿宋_GB2312" w:eastAsia="仿宋_GB2312" w:cs="仿宋_GB2312"/>
          <w:color w:val="000000" w:themeColor="text1"/>
          <w:kern w:val="0"/>
          <w:sz w:val="24"/>
          <w:highlight w:val="none"/>
          <w14:textFill>
            <w14:solidFill>
              <w14:schemeClr w14:val="tx1"/>
            </w14:solidFill>
          </w14:textFill>
        </w:rPr>
        <w:t>3.1 在供应商递交响应文件截止时间结束后，评审小组组织所有递交响应文件的供应商对递交的响应文件进行密封性检查。经确认无误后评审小组组织评审委员会对递交响应文件的供应商进行资格审查，确定参加谈判的供应商名单。评审委员会资格审查过程中，其成员对供应商资格是否符合规定存在争议的，应当以少数服从多数的原则处理。有不同意见的评审委员会成员认为资格审查过程不符合法律法规和采购文件规定的，应当及时向采购单位报告。</w:t>
      </w:r>
    </w:p>
    <w:p w14:paraId="5F78D49B">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评审委员会资格审查结束后，出具资格审查报告，确定参加谈判的供应商名单。没有通过资格审查的供应商，评审委员会应在资格审查报告中说明原因。资格审查报告应当由全体评审委员会成员签字确认。评审委员会成员对资格审查过程和结果有不同意见的，应当在资格审查报告中写明并说明理由。签字但不写明不同意见或者不说明理由的，视同无意见。拒不签字又不另行书面说明其不同意见和理由的，视同同意资格审查结果。</w:t>
      </w:r>
    </w:p>
    <w:p w14:paraId="70C4E988">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3.2 评审小组收到评审委员会出具的资格审查报告后，当场向所有递交响应文件的供应商宣布通过及未通过资格审查的供应商名单，并宣布供应商未通过资格审查的原因，但涉及商业秘密的除外。</w:t>
      </w:r>
    </w:p>
    <w:p w14:paraId="17682197">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3.3 评审委员会在评审过程中，需要供应商对响应文件中含义不明确、同类问题表述不一致或者有明显文字和计算错误的内容等作出必要的澄清、说明或者更正的，应当以书面形式（须由评审委员会全体成员签字）作出，并给予供应商必要的反馈时间。</w:t>
      </w:r>
    </w:p>
    <w:p w14:paraId="194D0540">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供应商的澄清、说明或者更正材料应当采用书面形式，并由其法定代表人（主要负责人）或其授权代表签字或者加盖公章。由授权代表签字的，应当附法定代表人授权书。供应商响应文件中已经提供授权书、身份证明的，可以不再提供。</w:t>
      </w:r>
    </w:p>
    <w:p w14:paraId="50B6AB8C">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3.4 供应商资格审查结束后，评审小组组织评审委员会成员按谈判文件规定集中与通过资格审查的供应商分别进行谈判。</w:t>
      </w:r>
      <w:r>
        <w:rPr>
          <w:rFonts w:hint="eastAsia" w:ascii="仿宋_GB2312" w:hAnsi="仿宋_GB2312" w:eastAsia="仿宋_GB2312" w:cs="仿宋_GB2312"/>
          <w:bCs/>
          <w:color w:val="000000" w:themeColor="text1"/>
          <w:kern w:val="0"/>
          <w:sz w:val="24"/>
          <w:highlight w:val="none"/>
          <w14:textFill>
            <w14:solidFill>
              <w14:schemeClr w14:val="tx1"/>
            </w14:solidFill>
          </w14:textFill>
        </w:rPr>
        <w:t>谈判顺序现场抽签确定。</w:t>
      </w:r>
    </w:p>
    <w:p w14:paraId="3E98510B">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3.5 谈判过程中，评审委员会获得采购人同意后，可以根据谈判情况实质性变动谈判文件“第五部分”规定的可以变动的内容，但不得变动谈判文件中的其他内容。实质性变动的内容，须经采购人代表确认。评审委员会应当将变动的内容书面通知所有参加谈判的供应商，并做好书面记录。评审委员会变动采购文件的，应当要求供应商就变动的部分重新提交响应文件，并给予供应商重新提交响应文件的合理时间。谈判过程中，评审委员会可以根据谈判情况调整谈判轮次。</w:t>
      </w:r>
    </w:p>
    <w:p w14:paraId="59334CCD">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3.6 谈判过程中，供应商可以根据谈判情况变更其响应文件，并将变更内容形成书面材料送评审委员会。变更内容应作为响应文件的一部分。供应商书面材料应当签字确认或加盖公章，否则无效。变更内容书面材料的签字确认，供应商为法人的，由其法定代表人或者代理人签字确认；供应商为其他组织的，由其主要负责人或者代理人签字确认。有效的变更内容书面材料应作为响应文件的一部分。</w:t>
      </w:r>
    </w:p>
    <w:p w14:paraId="688CCBE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3.7 评审委员会经与供应商谈判和对供应商响应文件审查后，供应商响应文件未实质性响应采购文件的，评审委员会应当对其响应文件按无效处理，并书面告知供应商，说明理由。</w:t>
      </w:r>
    </w:p>
    <w:p w14:paraId="0602EA3D">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w:t>
      </w: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.8 谈判结束后，评审委员会应当要求所有实质性响应的供应商在规定时间内进行最后报价。</w:t>
      </w:r>
    </w:p>
    <w:p w14:paraId="7F0BE0A4">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注：所有实质性响应的供应商是指谈判结束后，满足采购文件所有实质性要求，且对谈判文件其他要求没有实质性负偏离。实质性负偏离是指采购文件虽然没有列明为实质性要求，但供应商的响应文件与谈判文件有重大偏离，且无法满足项目基本需要（包括但不限于响应数量不足、缺项、技术应答完全或者绝大部分复制采购文件内容、产品或服务与谈判文件要求有重大偏离等，例如：谈判文件要求不锈钢保温杯，供应商响应文件提供一次性纸杯）。评审委员会应当基于自身专业知识和项目的有效实施的原则进行评判，评审委员会认定供应商的响应文件有实质性负偏离的，应当说明原因。</w:t>
      </w:r>
    </w:p>
    <w:p w14:paraId="288C02E4">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3.9 供应商进行现场报价，应当在评审室外填写报价单，</w:t>
      </w:r>
      <w:r>
        <w:rPr>
          <w:rFonts w:hint="eastAsia" w:ascii="仿宋_GB2312" w:hAnsi="仿宋_GB2312" w:eastAsia="仿宋_GB2312" w:cs="仿宋_GB2312"/>
          <w:b/>
          <w:color w:val="000000" w:themeColor="text1"/>
          <w:kern w:val="0"/>
          <w:sz w:val="24"/>
          <w:highlight w:val="none"/>
          <w14:textFill>
            <w14:solidFill>
              <w14:schemeClr w14:val="tx1"/>
            </w14:solidFill>
          </w14:textFill>
        </w:rPr>
        <w:t>密封递交</w:t>
      </w:r>
      <w:r>
        <w:rPr>
          <w:rFonts w:hint="eastAsia" w:ascii="仿宋_GB2312" w:hAnsi="仿宋_GB2312" w:eastAsia="仿宋_GB2312" w:cs="仿宋_GB2312"/>
          <w:color w:val="000000" w:themeColor="text1"/>
          <w:kern w:val="0"/>
          <w:sz w:val="24"/>
          <w:highlight w:val="none"/>
          <w14:textFill>
            <w14:solidFill>
              <w14:schemeClr w14:val="tx1"/>
            </w14:solidFill>
          </w14:textFill>
        </w:rPr>
        <w:t xml:space="preserve">评审小组工作人员，由采评审小组工作人员收齐后集中递交评审委员会。评审小组工作人员不能拆封供应商报价单。   </w:t>
      </w:r>
    </w:p>
    <w:p w14:paraId="0176B0E5">
      <w:pPr>
        <w:tabs>
          <w:tab w:val="left" w:pos="1065"/>
        </w:tabs>
        <w:autoSpaceDE w:val="0"/>
        <w:autoSpaceDN w:val="0"/>
        <w:adjustRightInd w:val="0"/>
        <w:ind w:firstLine="480" w:firstLineChars="200"/>
        <w:jc w:val="left"/>
        <w:rPr>
          <w:rFonts w:ascii="仿宋_GB2312" w:hAnsi="仿宋_GB2312" w:eastAsia="仿宋_GB2312" w:cs="仿宋_GB2312"/>
          <w:b w:val="0"/>
          <w:bCs w:val="0"/>
          <w:color w:val="000000" w:themeColor="text1"/>
          <w:kern w:val="0"/>
          <w:sz w:val="24"/>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供应商报价单应当签字确认或加盖公章，否则无效。供应商为法人的，由其法定代表人或者代理人签字确认；供应商为其他组织的，由其主要负责人或者代理人签字确认。</w:t>
      </w:r>
    </w:p>
    <w:p w14:paraId="5E192663">
      <w:pPr>
        <w:autoSpaceDE w:val="0"/>
        <w:autoSpaceDN w:val="0"/>
        <w:adjustRightInd w:val="0"/>
        <w:spacing w:before="120" w:beforeLines="50" w:after="120" w:afterLines="50" w:line="400" w:lineRule="exact"/>
        <w:ind w:firstLine="424" w:firstLineChars="177"/>
        <w:jc w:val="left"/>
        <w:rPr>
          <w:rFonts w:ascii="仿宋_GB2312" w:hAnsi="仿宋_GB2312" w:eastAsia="仿宋_GB2312" w:cs="仿宋_GB2312"/>
          <w:b w:val="0"/>
          <w:bCs w:val="0"/>
          <w:color w:val="000000" w:themeColor="text1"/>
          <w:kern w:val="0"/>
          <w:sz w:val="24"/>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3.10 供应商最后报价结束后，评审委员会应当按照有效供应商最后报价从低到高排序，推荐不低于三名候选成交供应商。最后报价相同的，评审委员会组织供应商以现场抽签的方式确定排序。</w:t>
      </w:r>
    </w:p>
    <w:p w14:paraId="57D9B406">
      <w:pPr>
        <w:tabs>
          <w:tab w:val="left" w:pos="1065"/>
        </w:tabs>
        <w:autoSpaceDE w:val="0"/>
        <w:autoSpaceDN w:val="0"/>
        <w:adjustRightInd w:val="0"/>
        <w:ind w:firstLine="480" w:firstLineChars="200"/>
        <w:jc w:val="left"/>
        <w:rPr>
          <w:rFonts w:ascii="仿宋_GB2312" w:hAnsi="仿宋_GB2312" w:eastAsia="仿宋_GB2312" w:cs="仿宋_GB2312"/>
          <w:b w:val="0"/>
          <w:bCs w:val="0"/>
          <w:color w:val="000000" w:themeColor="text1"/>
          <w:kern w:val="0"/>
          <w:sz w:val="24"/>
          <w:highlight w:val="none"/>
          <w14:textFill>
            <w14:solidFill>
              <w14:schemeClr w14:val="tx1"/>
            </w14:solidFill>
          </w14:textFill>
        </w:rPr>
      </w:pPr>
      <w:r>
        <w:rPr>
          <w:rFonts w:hint="eastAsia" w:ascii="仿宋_GB2312" w:hAnsi="仿宋_GB2312" w:eastAsia="仿宋_GB2312" w:cs="仿宋_GB2312"/>
          <w:b w:val="0"/>
          <w:bCs w:val="0"/>
          <w:color w:val="000000" w:themeColor="text1"/>
          <w:kern w:val="0"/>
          <w:sz w:val="24"/>
          <w:highlight w:val="none"/>
          <w14:textFill>
            <w14:solidFill>
              <w14:schemeClr w14:val="tx1"/>
            </w14:solidFill>
          </w14:textFill>
        </w:rPr>
        <w:t>3.11 评审委员会推荐候选成交供应商后，应当向采购人、采购代理机构出具评审报告。评审报告应当包括下列内容：</w:t>
      </w:r>
    </w:p>
    <w:p w14:paraId="1687E1B4">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3.11.1 邀请供应商参加采购活动的具体方式和相关情况，以及参加采购活动的供应商名单；</w:t>
      </w:r>
    </w:p>
    <w:p w14:paraId="7A737FDA">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3.11.2 评审日期和地点，评审委员会成员名单；</w:t>
      </w:r>
    </w:p>
    <w:p w14:paraId="12B1178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3.11.3 参加报价的供应商名单及报价情况和未参加报价的供应商名单及原因；</w:t>
      </w:r>
    </w:p>
    <w:p w14:paraId="09523452">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3.11.4 采购文件规定的采购项目实质性要求及变动采购文件实质性内容的有关资料及记录；</w:t>
      </w:r>
    </w:p>
    <w:p w14:paraId="298C75B9">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3.11.5 供应商响应文件响应采购文件实质性要求情况及供应商变动响应文件有关资料及记录；</w:t>
      </w:r>
    </w:p>
    <w:p w14:paraId="65E4C3C8">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3.11.6 评审情况记录和说明，包括对供应商的资格审查情况、供应商响应文件评审、谈判、谈判情况等；</w:t>
      </w:r>
    </w:p>
    <w:p w14:paraId="2CB5FF71">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3.11.7 推荐的候选成交供应商名单及理由。</w:t>
      </w:r>
    </w:p>
    <w:p w14:paraId="0247C0FD">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3.12 评审报告应当由全体评审委员会成员签字确认。评审委员会成员对评审过程和结果有不同意见的，应当在评审报告中写明并说明理由。签字但不写明不同意见或者不说明理由的，视同无意见。拒不签字又不另行书面说明其不同意见和理由的，视同同意评审结果。</w:t>
      </w:r>
    </w:p>
    <w:p w14:paraId="3E6FC63A">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3.14 评审过程中，评审委员会应当进行复核。采购人或采购代理机构评审现场发现资格性（符合性）检查认定错误等情形，评审委员会应当现场重新评审或者修改评审结果。</w:t>
      </w:r>
    </w:p>
    <w:p w14:paraId="0A3ADBA2">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3.13 谈判过程中，有下列情形之一的，本次采购活动终止：</w:t>
      </w:r>
    </w:p>
    <w:p w14:paraId="53E27C17">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（一）通过资格审查的供应商不足三家的；</w:t>
      </w:r>
    </w:p>
    <w:p w14:paraId="353781A3">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（二）谈判结束，供应商响应文件实质性响应采购文件不足三家的；</w:t>
      </w:r>
    </w:p>
    <w:p w14:paraId="3F7AB4AB">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（三）供应商报价均超过本次采购预算或者本次采购项目最高限价的；</w:t>
      </w:r>
    </w:p>
    <w:p w14:paraId="6B2B6641">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（四）出现影响采购公正的违法、违规行为的；</w:t>
      </w:r>
    </w:p>
    <w:p w14:paraId="5B3D5245">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（五）其他无法继续开展谈判或者无法成交的情形。</w:t>
      </w:r>
    </w:p>
    <w:p w14:paraId="505F7274">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3.14 在谈判过程中，谈判的任何一方不得透露与谈判有关的其他供应商的技术资料、价格和其他信息。</w:t>
      </w:r>
    </w:p>
    <w:p w14:paraId="7B556BD5">
      <w:pPr>
        <w:pStyle w:val="47"/>
        <w:rPr>
          <w:rFonts w:ascii="仿宋_GB2312" w:hAnsi="仿宋_GB2312" w:eastAsia="仿宋_GB2312" w:cs="仿宋_GB2312"/>
          <w:b/>
          <w:color w:val="000000" w:themeColor="text1"/>
          <w:szCs w:val="24"/>
          <w:highlight w:val="none"/>
          <w14:textFill>
            <w14:solidFill>
              <w14:schemeClr w14:val="tx1"/>
            </w14:solidFill>
          </w14:textFill>
        </w:rPr>
      </w:pPr>
      <w:bookmarkStart w:id="149" w:name="_Toc23787"/>
      <w:bookmarkStart w:id="150" w:name="_Toc12749"/>
      <w:bookmarkStart w:id="151" w:name="_Toc15077"/>
      <w:bookmarkStart w:id="152" w:name="_Toc9221"/>
      <w:bookmarkStart w:id="153" w:name="_Toc26447941"/>
      <w:bookmarkStart w:id="154" w:name="_Toc28970"/>
      <w:bookmarkStart w:id="155" w:name="_Toc19214"/>
      <w:bookmarkStart w:id="156" w:name="_Toc491847669"/>
      <w:r>
        <w:rPr>
          <w:rFonts w:hint="eastAsia" w:ascii="仿宋_GB2312" w:hAnsi="仿宋_GB2312" w:eastAsia="仿宋_GB2312" w:cs="仿宋_GB2312"/>
          <w:b/>
          <w:color w:val="000000" w:themeColor="text1"/>
          <w:szCs w:val="24"/>
          <w:highlight w:val="none"/>
          <w14:textFill>
            <w14:solidFill>
              <w14:schemeClr w14:val="tx1"/>
            </w14:solidFill>
          </w14:textFill>
        </w:rPr>
        <w:t>4.</w:t>
      </w:r>
      <w:bookmarkEnd w:id="140"/>
      <w:bookmarkEnd w:id="141"/>
      <w:bookmarkEnd w:id="142"/>
      <w:bookmarkEnd w:id="143"/>
      <w:bookmarkEnd w:id="144"/>
      <w:bookmarkEnd w:id="145"/>
      <w:bookmarkEnd w:id="146"/>
      <w:bookmarkEnd w:id="147"/>
      <w:bookmarkEnd w:id="148"/>
      <w:r>
        <w:rPr>
          <w:rFonts w:hint="eastAsia" w:ascii="仿宋_GB2312" w:hAnsi="仿宋_GB2312" w:eastAsia="仿宋_GB2312" w:cs="仿宋_GB2312"/>
          <w:b/>
          <w:color w:val="000000" w:themeColor="text1"/>
          <w:szCs w:val="24"/>
          <w:highlight w:val="none"/>
          <w14:textFill>
            <w14:solidFill>
              <w14:schemeClr w14:val="tx1"/>
            </w14:solidFill>
          </w14:textFill>
        </w:rPr>
        <w:t>确定成交供应商</w:t>
      </w:r>
      <w:bookmarkEnd w:id="149"/>
      <w:bookmarkEnd w:id="150"/>
      <w:bookmarkEnd w:id="151"/>
      <w:bookmarkEnd w:id="152"/>
      <w:bookmarkEnd w:id="153"/>
      <w:bookmarkEnd w:id="154"/>
      <w:bookmarkEnd w:id="155"/>
      <w:bookmarkEnd w:id="156"/>
      <w:bookmarkStart w:id="157" w:name="_Toc239822619"/>
      <w:bookmarkStart w:id="158" w:name="_Toc239822504"/>
    </w:p>
    <w:p w14:paraId="77FAC111">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4.1 采购人应当在1个工作日以内按照评审报告中推荐的候选成交供应商顺序确定成交供应商。</w:t>
      </w:r>
    </w:p>
    <w:p w14:paraId="7475D191">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4.2 采购人不确定排序前一位候选成交供应商为成交供应商的，应当将不确定的理由书面告知该候选成交供应商，并公告（涉及商业秘密，商业信誉的内容除外）。</w:t>
      </w:r>
    </w:p>
    <w:p w14:paraId="5969D334">
      <w:pPr>
        <w:tabs>
          <w:tab w:val="left" w:pos="1065"/>
        </w:tabs>
        <w:autoSpaceDE w:val="0"/>
        <w:autoSpaceDN w:val="0"/>
        <w:adjustRightInd w:val="0"/>
        <w:ind w:firstLine="480" w:firstLineChars="200"/>
        <w:jc w:val="left"/>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color w:val="000000" w:themeColor="text1"/>
          <w:kern w:val="0"/>
          <w:sz w:val="24"/>
          <w:highlight w:val="none"/>
          <w14:textFill>
            <w14:solidFill>
              <w14:schemeClr w14:val="tx1"/>
            </w14:solidFill>
          </w14:textFill>
        </w:rPr>
        <w:t>4.3 采购人确定不出成交供应商的，可以重新组织采购，书面告知候选成交供应商，说明理由。</w:t>
      </w:r>
    </w:p>
    <w:p w14:paraId="3CC77580">
      <w:pPr>
        <w:autoSpaceDE w:val="0"/>
        <w:autoSpaceDN w:val="0"/>
        <w:adjustRightInd w:val="0"/>
        <w:spacing w:before="120" w:beforeLines="50" w:after="120" w:afterLines="50" w:line="400" w:lineRule="exact"/>
        <w:jc w:val="left"/>
        <w:rPr>
          <w:rFonts w:ascii="仿宋_GB2312" w:hAnsi="仿宋_GB2312" w:eastAsia="仿宋_GB2312" w:cs="仿宋_GB2312"/>
          <w:color w:val="000000" w:themeColor="text1"/>
          <w:kern w:val="0"/>
          <w:sz w:val="24"/>
          <w:highlight w:val="none"/>
          <w14:textFill>
            <w14:solidFill>
              <w14:schemeClr w14:val="tx1"/>
            </w14:solidFill>
          </w14:textFill>
        </w:rPr>
      </w:pPr>
    </w:p>
    <w:bookmarkEnd w:id="157"/>
    <w:bookmarkEnd w:id="158"/>
    <w:p w14:paraId="223EB4B8">
      <w:pPr>
        <w:pStyle w:val="4"/>
        <w:rPr>
          <w:rFonts w:ascii="仿宋_GB2312" w:hAnsi="仿宋_GB2312" w:eastAsia="仿宋_GB2312" w:cs="仿宋_GB2312"/>
          <w:color w:val="000000" w:themeColor="text1"/>
          <w:sz w:val="24"/>
          <w:highlight w:val="none"/>
          <w14:textFill>
            <w14:solidFill>
              <w14:schemeClr w14:val="tx1"/>
            </w14:solidFill>
          </w14:textFill>
        </w:rPr>
      </w:pPr>
      <w:r>
        <w:rPr>
          <w:rFonts w:ascii="仿宋_GB2312" w:hAnsi="仿宋_GB2312" w:eastAsia="仿宋_GB2312" w:cs="仿宋_GB2312"/>
          <w:color w:val="000000" w:themeColor="text1"/>
          <w:sz w:val="24"/>
          <w:highlight w:val="none"/>
          <w14:textFill>
            <w14:solidFill>
              <w14:schemeClr w14:val="tx1"/>
            </w14:solidFill>
          </w14:textFill>
        </w:rPr>
        <w:t xml:space="preserve"> </w:t>
      </w:r>
    </w:p>
    <w:p w14:paraId="704DFEF7">
      <w:pPr>
        <w:rPr>
          <w:rFonts w:ascii="仿宋_GB2312" w:hAnsi="仿宋_GB2312" w:eastAsia="仿宋_GB2312" w:cs="仿宋_GB2312"/>
          <w:color w:val="000000" w:themeColor="text1"/>
          <w:sz w:val="24"/>
          <w:highlight w:val="none"/>
          <w14:textFill>
            <w14:solidFill>
              <w14:schemeClr w14:val="tx1"/>
            </w14:solidFill>
          </w14:textFill>
        </w:rPr>
      </w:pPr>
    </w:p>
    <w:p w14:paraId="0676A1AC">
      <w:pPr>
        <w:pStyle w:val="34"/>
        <w:rPr>
          <w:rFonts w:ascii="仿宋_GB2312" w:hAnsi="仿宋_GB2312" w:eastAsia="仿宋_GB2312" w:cs="仿宋_GB2312"/>
          <w:color w:val="000000" w:themeColor="text1"/>
          <w:highlight w:val="none"/>
          <w14:textFill>
            <w14:solidFill>
              <w14:schemeClr w14:val="tx1"/>
            </w14:solidFill>
          </w14:textFill>
        </w:rPr>
      </w:pPr>
    </w:p>
    <w:p w14:paraId="0690CADD">
      <w:pPr>
        <w:rPr>
          <w:rFonts w:ascii="仿宋_GB2312" w:hAnsi="仿宋_GB2312" w:eastAsia="仿宋_GB2312" w:cs="仿宋_GB2312"/>
          <w:color w:val="000000" w:themeColor="text1"/>
          <w:sz w:val="24"/>
          <w:highlight w:val="none"/>
          <w14:textFill>
            <w14:solidFill>
              <w14:schemeClr w14:val="tx1"/>
            </w14:solidFill>
          </w14:textFill>
        </w:rPr>
      </w:pPr>
    </w:p>
    <w:p w14:paraId="2D2FAF05">
      <w:pPr>
        <w:pStyle w:val="34"/>
        <w:rPr>
          <w:rFonts w:ascii="仿宋_GB2312" w:hAnsi="仿宋_GB2312" w:eastAsia="仿宋_GB2312" w:cs="仿宋_GB2312"/>
          <w:color w:val="000000" w:themeColor="text1"/>
          <w:highlight w:val="none"/>
          <w14:textFill>
            <w14:solidFill>
              <w14:schemeClr w14:val="tx1"/>
            </w14:solidFill>
          </w14:textFill>
        </w:rPr>
      </w:pPr>
    </w:p>
    <w:p w14:paraId="485A9401">
      <w:pPr>
        <w:rPr>
          <w:rFonts w:ascii="仿宋_GB2312" w:hAnsi="仿宋_GB2312" w:eastAsia="仿宋_GB2312" w:cs="仿宋_GB2312"/>
          <w:color w:val="000000" w:themeColor="text1"/>
          <w:sz w:val="24"/>
          <w:highlight w:val="none"/>
          <w14:textFill>
            <w14:solidFill>
              <w14:schemeClr w14:val="tx1"/>
            </w14:solidFill>
          </w14:textFill>
        </w:rPr>
      </w:pPr>
    </w:p>
    <w:p w14:paraId="44A15977">
      <w:pPr>
        <w:pStyle w:val="34"/>
        <w:rPr>
          <w:rFonts w:ascii="仿宋_GB2312" w:hAnsi="仿宋_GB2312" w:eastAsia="仿宋_GB2312" w:cs="仿宋_GB2312"/>
          <w:color w:val="000000" w:themeColor="text1"/>
          <w:highlight w:val="none"/>
          <w14:textFill>
            <w14:solidFill>
              <w14:schemeClr w14:val="tx1"/>
            </w14:solidFill>
          </w14:textFill>
        </w:rPr>
      </w:pPr>
    </w:p>
    <w:p w14:paraId="671C0A65">
      <w:pPr>
        <w:rPr>
          <w:rFonts w:ascii="仿宋_GB2312" w:hAnsi="仿宋_GB2312" w:eastAsia="仿宋_GB2312" w:cs="仿宋_GB2312"/>
          <w:color w:val="000000" w:themeColor="text1"/>
          <w:sz w:val="24"/>
          <w:highlight w:val="none"/>
          <w14:textFill>
            <w14:solidFill>
              <w14:schemeClr w14:val="tx1"/>
            </w14:solidFill>
          </w14:textFill>
        </w:rPr>
      </w:pPr>
    </w:p>
    <w:p w14:paraId="38566E1C">
      <w:pPr>
        <w:pStyle w:val="34"/>
        <w:rPr>
          <w:rFonts w:ascii="仿宋_GB2312" w:hAnsi="仿宋_GB2312" w:eastAsia="仿宋_GB2312" w:cs="仿宋_GB2312"/>
          <w:color w:val="000000" w:themeColor="text1"/>
          <w:highlight w:val="none"/>
          <w14:textFill>
            <w14:solidFill>
              <w14:schemeClr w14:val="tx1"/>
            </w14:solidFill>
          </w14:textFill>
        </w:rPr>
      </w:pPr>
    </w:p>
    <w:p w14:paraId="3DC5A58D">
      <w:pPr>
        <w:rPr>
          <w:color w:val="000000" w:themeColor="text1"/>
          <w:highlight w:val="none"/>
          <w14:textFill>
            <w14:solidFill>
              <w14:schemeClr w14:val="tx1"/>
            </w14:solidFill>
          </w14:textFill>
        </w:rPr>
      </w:pPr>
    </w:p>
    <w:p w14:paraId="639141E7">
      <w:pPr>
        <w:tabs>
          <w:tab w:val="left" w:pos="1546"/>
        </w:tabs>
        <w:autoSpaceDE w:val="0"/>
        <w:autoSpaceDN w:val="0"/>
        <w:adjustRightInd w:val="0"/>
        <w:ind w:firstLine="424" w:firstLineChars="177"/>
        <w:jc w:val="left"/>
        <w:rPr>
          <w:rFonts w:ascii="仿宋_GB2312" w:hAnsi="仿宋_GB2312" w:eastAsia="仿宋_GB2312" w:cs="仿宋_GB2312"/>
          <w:color w:val="000000" w:themeColor="text1"/>
          <w:kern w:val="0"/>
          <w:sz w:val="24"/>
          <w:highlight w:val="none"/>
          <w14:textFill>
            <w14:solidFill>
              <w14:schemeClr w14:val="tx1"/>
            </w14:solidFill>
          </w14:textFill>
        </w:rPr>
      </w:pPr>
    </w:p>
    <w:p w14:paraId="4EF580FB">
      <w:pPr>
        <w:pStyle w:val="20"/>
        <w:tabs>
          <w:tab w:val="right" w:leader="dot" w:pos="9057"/>
        </w:tabs>
        <w:outlineLvl w:val="0"/>
        <w:rPr>
          <w:rStyle w:val="73"/>
          <w:rFonts w:ascii="仿宋_GB2312" w:hAnsi="仿宋_GB2312" w:eastAsia="仿宋_GB2312" w:cs="仿宋_GB2312"/>
          <w:color w:val="000000" w:themeColor="text1"/>
          <w:sz w:val="32"/>
          <w:szCs w:val="32"/>
          <w:highlight w:val="none"/>
          <w14:textFill>
            <w14:solidFill>
              <w14:schemeClr w14:val="tx1"/>
            </w14:solidFill>
          </w14:textFill>
        </w:rPr>
      </w:pPr>
      <w:bookmarkStart w:id="159" w:name="_Toc19661"/>
      <w:bookmarkStart w:id="160" w:name="_Toc491847675"/>
      <w:bookmarkStart w:id="161" w:name="_Toc12344"/>
    </w:p>
    <w:p w14:paraId="59E93920">
      <w:pPr>
        <w:pStyle w:val="20"/>
        <w:tabs>
          <w:tab w:val="right" w:leader="dot" w:pos="9057"/>
        </w:tabs>
        <w:jc w:val="center"/>
        <w:outlineLvl w:val="0"/>
        <w:rPr>
          <w:rStyle w:val="73"/>
          <w:rFonts w:ascii="仿宋_GB2312" w:hAnsi="仿宋_GB2312" w:eastAsia="仿宋_GB2312" w:cs="仿宋_GB2312"/>
          <w:color w:val="000000" w:themeColor="text1"/>
          <w:sz w:val="32"/>
          <w:szCs w:val="32"/>
          <w:highlight w:val="none"/>
          <w14:textFill>
            <w14:solidFill>
              <w14:schemeClr w14:val="tx1"/>
            </w14:solidFill>
          </w14:textFill>
        </w:rPr>
      </w:pPr>
    </w:p>
    <w:p w14:paraId="7912F035">
      <w:pPr>
        <w:pStyle w:val="20"/>
        <w:tabs>
          <w:tab w:val="right" w:leader="dot" w:pos="9057"/>
        </w:tabs>
        <w:jc w:val="center"/>
        <w:outlineLvl w:val="0"/>
        <w:rPr>
          <w:rStyle w:val="73"/>
          <w:rFonts w:ascii="仿宋_GB2312" w:hAnsi="仿宋_GB2312" w:eastAsia="仿宋_GB2312" w:cs="仿宋_GB2312"/>
          <w:color w:val="000000" w:themeColor="text1"/>
          <w:sz w:val="32"/>
          <w:szCs w:val="32"/>
          <w:highlight w:val="none"/>
          <w14:textFill>
            <w14:solidFill>
              <w14:schemeClr w14:val="tx1"/>
            </w14:solidFill>
          </w14:textFill>
        </w:rPr>
      </w:pPr>
      <w:bookmarkStart w:id="163" w:name="_GoBack"/>
      <w:bookmarkEnd w:id="163"/>
    </w:p>
    <w:p w14:paraId="6B637916">
      <w:pPr>
        <w:pStyle w:val="20"/>
        <w:tabs>
          <w:tab w:val="right" w:leader="dot" w:pos="9057"/>
        </w:tabs>
        <w:jc w:val="center"/>
        <w:outlineLvl w:val="0"/>
        <w:rPr>
          <w:rStyle w:val="73"/>
          <w:rFonts w:ascii="仿宋_GB2312" w:hAnsi="仿宋_GB2312" w:eastAsia="仿宋_GB2312" w:cs="仿宋_GB2312"/>
          <w:color w:val="000000" w:themeColor="text1"/>
          <w:sz w:val="24"/>
          <w:szCs w:val="24"/>
          <w:highlight w:val="none"/>
          <w14:textFill>
            <w14:solidFill>
              <w14:schemeClr w14:val="tx1"/>
            </w14:solidFill>
          </w14:textFill>
        </w:rPr>
      </w:pPr>
      <w:bookmarkStart w:id="162" w:name="_Toc23576"/>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t xml:space="preserve">第六部分 </w:t>
      </w:r>
      <w:bookmarkEnd w:id="159"/>
      <w:bookmarkEnd w:id="160"/>
      <w:r>
        <w:rPr>
          <w:rStyle w:val="73"/>
          <w:rFonts w:hint="eastAsia" w:ascii="仿宋_GB2312" w:hAnsi="仿宋_GB2312" w:eastAsia="仿宋_GB2312" w:cs="仿宋_GB2312"/>
          <w:color w:val="000000" w:themeColor="text1"/>
          <w:sz w:val="32"/>
          <w:szCs w:val="32"/>
          <w:highlight w:val="none"/>
          <w14:textFill>
            <w14:solidFill>
              <w14:schemeClr w14:val="tx1"/>
            </w14:solidFill>
          </w14:textFill>
        </w:rPr>
        <w:t>采购合同</w:t>
      </w:r>
      <w:bookmarkEnd w:id="161"/>
      <w:bookmarkEnd w:id="162"/>
    </w:p>
    <w:p w14:paraId="14958521">
      <w:pPr>
        <w:rPr>
          <w:rFonts w:ascii="仿宋_GB2312" w:hAnsi="仿宋_GB2312" w:eastAsia="仿宋_GB2312" w:cs="仿宋_GB2312"/>
          <w:color w:val="000000" w:themeColor="text1"/>
          <w:sz w:val="24"/>
          <w:highlight w:val="none"/>
          <w14:textFill>
            <w14:solidFill>
              <w14:schemeClr w14:val="tx1"/>
            </w14:solidFill>
          </w14:textFill>
        </w:rPr>
      </w:pPr>
    </w:p>
    <w:p w14:paraId="593E8A23">
      <w:pPr>
        <w:rPr>
          <w:rFonts w:ascii="仿宋_GB2312" w:hAnsi="仿宋_GB2312" w:eastAsia="仿宋_GB2312" w:cs="仿宋_GB2312"/>
          <w:color w:val="000000" w:themeColor="text1"/>
          <w:kern w:val="0"/>
          <w:sz w:val="24"/>
          <w:highlight w:val="none"/>
          <w14:textFill>
            <w14:solidFill>
              <w14:schemeClr w14:val="tx1"/>
            </w14:solidFill>
          </w14:textFill>
        </w:rPr>
      </w:pPr>
      <w:r>
        <w:rPr>
          <w:rFonts w:hint="eastAsia" w:ascii="仿宋_GB2312" w:hAnsi="仿宋_GB2312" w:eastAsia="仿宋_GB2312" w:cs="仿宋_GB2312"/>
          <w:bCs/>
          <w:color w:val="000000" w:themeColor="text1"/>
          <w:sz w:val="24"/>
          <w:highlight w:val="none"/>
          <w14:textFill>
            <w14:solidFill>
              <w14:schemeClr w14:val="tx1"/>
            </w14:solidFill>
          </w14:textFill>
        </w:rPr>
        <w:t>采购人与供应商协商签订，但不得实质性违背谈判文件和响应文件的内容。</w:t>
      </w:r>
    </w:p>
    <w:p w14:paraId="2125304D">
      <w:pPr>
        <w:rPr>
          <w:rFonts w:ascii="仿宋_GB2312" w:hAnsi="仿宋_GB2312" w:eastAsia="仿宋_GB2312" w:cs="仿宋_GB2312"/>
          <w:color w:val="000000" w:themeColor="text1"/>
          <w:sz w:val="24"/>
          <w:highlight w:val="none"/>
          <w14:textFill>
            <w14:solidFill>
              <w14:schemeClr w14:val="tx1"/>
            </w14:solidFill>
          </w14:textFill>
        </w:rPr>
      </w:pPr>
    </w:p>
    <w:p w14:paraId="5CDC7417">
      <w:pPr>
        <w:rPr>
          <w:rFonts w:ascii="仿宋_GB2312" w:hAnsi="仿宋_GB2312" w:eastAsia="仿宋_GB2312" w:cs="仿宋_GB2312"/>
          <w:color w:val="000000" w:themeColor="text1"/>
          <w:sz w:val="24"/>
          <w:highlight w:val="none"/>
          <w14:textFill>
            <w14:solidFill>
              <w14:schemeClr w14:val="tx1"/>
            </w14:solidFill>
          </w14:textFill>
        </w:rPr>
      </w:pPr>
    </w:p>
    <w:p w14:paraId="6D2B757E">
      <w:pPr>
        <w:rPr>
          <w:rFonts w:ascii="仿宋_GB2312" w:eastAsia="仿宋_GB2312"/>
          <w:color w:val="000000" w:themeColor="text1"/>
          <w:sz w:val="24"/>
          <w:highlight w:val="none"/>
          <w14:textFill>
            <w14:solidFill>
              <w14:schemeClr w14:val="tx1"/>
            </w14:solidFill>
          </w14:textFill>
        </w:rPr>
        <w:sectPr>
          <w:headerReference r:id="rId5" w:type="default"/>
          <w:footerReference r:id="rId7" w:type="default"/>
          <w:headerReference r:id="rId6" w:type="even"/>
          <w:footerReference r:id="rId8" w:type="even"/>
          <w:type w:val="continuous"/>
          <w:pgSz w:w="11893" w:h="16840"/>
          <w:pgMar w:top="1418" w:right="1418" w:bottom="1418" w:left="1418" w:header="720" w:footer="720" w:gutter="0"/>
          <w:cols w:space="720" w:num="1"/>
          <w:titlePg/>
          <w:docGrid w:linePitch="286" w:charSpace="0"/>
        </w:sectPr>
      </w:pPr>
    </w:p>
    <w:p w14:paraId="3276125A">
      <w:pPr>
        <w:pStyle w:val="12"/>
        <w:numPr>
          <w:ilvl w:val="0"/>
          <w:numId w:val="0"/>
        </w:numPr>
        <w:rPr>
          <w:color w:val="000000" w:themeColor="text1"/>
          <w:highlight w:val="none"/>
          <w14:textFill>
            <w14:solidFill>
              <w14:schemeClr w14:val="tx1"/>
            </w14:solidFill>
          </w14:textFill>
        </w:rPr>
      </w:pPr>
    </w:p>
    <w:sectPr>
      <w:type w:val="continuous"/>
      <w:pgSz w:w="11893" w:h="16840"/>
      <w:pgMar w:top="1418" w:right="1418" w:bottom="1418" w:left="1418" w:header="720" w:footer="720" w:gutter="0"/>
      <w:cols w:space="720" w:num="1"/>
      <w:titlePg/>
      <w:docGrid w:linePitch="2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DD3D0">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11</w:t>
    </w:r>
    <w:r>
      <w:fldChar w:fldCharType="end"/>
    </w:r>
  </w:p>
  <w:p w14:paraId="781A25A8">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3D6614">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5</w:t>
    </w:r>
    <w:r>
      <w:fldChar w:fldCharType="end"/>
    </w:r>
  </w:p>
  <w:p w14:paraId="225524DC">
    <w:pPr>
      <w:pStyle w:val="1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196F1">
    <w:pPr>
      <w:pStyle w:val="19"/>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B686D">
    <w:pPr>
      <w:pStyle w:val="19"/>
      <w:framePr w:wrap="around" w:vAnchor="text" w:hAnchor="margin" w:xAlign="center" w:y="1"/>
      <w:rPr>
        <w:rStyle w:val="31"/>
      </w:rPr>
    </w:pPr>
    <w:r>
      <w:fldChar w:fldCharType="begin"/>
    </w:r>
    <w:r>
      <w:rPr>
        <w:rStyle w:val="31"/>
      </w:rPr>
      <w:instrText xml:space="preserve">PAGE  </w:instrText>
    </w:r>
    <w:r>
      <w:fldChar w:fldCharType="separate"/>
    </w:r>
    <w:r>
      <w:rPr>
        <w:rStyle w:val="31"/>
      </w:rPr>
      <w:t>5</w:t>
    </w:r>
    <w:r>
      <w:fldChar w:fldCharType="end"/>
    </w:r>
  </w:p>
  <w:p w14:paraId="285EB817">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4"/>
    <w:multiLevelType w:val="singleLevel"/>
    <w:tmpl w:val="00000004"/>
    <w:lvl w:ilvl="0" w:tentative="0">
      <w:start w:val="1"/>
      <w:numFmt w:val="chineseCounting"/>
      <w:suff w:val="nothing"/>
      <w:lvlText w:val="%1、"/>
      <w:lvlJc w:val="left"/>
    </w:lvl>
  </w:abstractNum>
  <w:abstractNum w:abstractNumId="1">
    <w:nsid w:val="0000000B"/>
    <w:multiLevelType w:val="multilevel"/>
    <w:tmpl w:val="0000000B"/>
    <w:lvl w:ilvl="0" w:tentative="0">
      <w:start w:val="1"/>
      <w:numFmt w:val="decimal"/>
      <w:pStyle w:val="12"/>
      <w:lvlText w:val="%1."/>
      <w:lvlJc w:val="left"/>
      <w:pPr>
        <w:tabs>
          <w:tab w:val="left" w:pos="780"/>
        </w:tabs>
        <w:ind w:left="790" w:hanging="430"/>
      </w:pPr>
      <w:rPr>
        <w:rFonts w:hint="eastAsia"/>
      </w:rPr>
    </w:lvl>
    <w:lvl w:ilvl="1" w:tentative="0">
      <w:start w:val="1"/>
      <w:numFmt w:val="decimal"/>
      <w:pStyle w:val="39"/>
      <w:lvlText w:val="%1.%2"/>
      <w:lvlJc w:val="left"/>
      <w:pPr>
        <w:tabs>
          <w:tab w:val="left" w:pos="880"/>
        </w:tabs>
        <w:ind w:left="880" w:hanging="700"/>
      </w:pPr>
      <w:rPr>
        <w:rFonts w:ascii="宋体" w:hAnsi="宋体" w:eastAsia="宋体" w:cs="Times New Roman"/>
        <w:lang w:val="en-US"/>
      </w:rPr>
    </w:lvl>
    <w:lvl w:ilvl="2" w:tentative="0">
      <w:start w:val="1"/>
      <w:numFmt w:val="decimal"/>
      <w:pStyle w:val="38"/>
      <w:lvlText w:val="%1.%2.%3"/>
      <w:lvlJc w:val="left"/>
      <w:pPr>
        <w:tabs>
          <w:tab w:val="left" w:pos="1360"/>
        </w:tabs>
        <w:ind w:left="1360" w:hanging="1000"/>
      </w:pPr>
      <w:rPr>
        <w:rFonts w:hint="eastAsia"/>
      </w:rPr>
    </w:lvl>
    <w:lvl w:ilvl="3" w:tentative="0">
      <w:start w:val="1"/>
      <w:numFmt w:val="decimal"/>
      <w:lvlText w:val="%1.%2.%3.%4"/>
      <w:lvlJc w:val="left"/>
      <w:pPr>
        <w:tabs>
          <w:tab w:val="left" w:pos="360"/>
        </w:tabs>
        <w:ind w:left="2344" w:hanging="1984"/>
      </w:pPr>
      <w:rPr>
        <w:rFonts w:hint="eastAsia"/>
      </w:rPr>
    </w:lvl>
    <w:lvl w:ilvl="4" w:tentative="0">
      <w:start w:val="1"/>
      <w:numFmt w:val="decimal"/>
      <w:lvlText w:val="%1.%2.%3.%4.%5"/>
      <w:lvlJc w:val="left"/>
      <w:pPr>
        <w:tabs>
          <w:tab w:val="left" w:pos="2911"/>
        </w:tabs>
        <w:ind w:left="2911" w:hanging="850"/>
      </w:pPr>
      <w:rPr>
        <w:rFonts w:hint="eastAsia"/>
      </w:rPr>
    </w:lvl>
    <w:lvl w:ilvl="5" w:tentative="0">
      <w:start w:val="1"/>
      <w:numFmt w:val="decimal"/>
      <w:lvlText w:val="%1.%2.%3.%4.%5.%6"/>
      <w:lvlJc w:val="left"/>
      <w:pPr>
        <w:tabs>
          <w:tab w:val="left" w:pos="3620"/>
        </w:tabs>
        <w:ind w:left="3620" w:hanging="1134"/>
      </w:pPr>
      <w:rPr>
        <w:rFonts w:hint="eastAsia"/>
      </w:rPr>
    </w:lvl>
    <w:lvl w:ilvl="6" w:tentative="0">
      <w:start w:val="1"/>
      <w:numFmt w:val="decimal"/>
      <w:lvlText w:val="%1.%2.%3.%4.%5.%6.%7"/>
      <w:lvlJc w:val="left"/>
      <w:pPr>
        <w:tabs>
          <w:tab w:val="left" w:pos="4187"/>
        </w:tabs>
        <w:ind w:left="4187" w:hanging="1276"/>
      </w:pPr>
      <w:rPr>
        <w:rFonts w:hint="eastAsia"/>
      </w:rPr>
    </w:lvl>
    <w:lvl w:ilvl="7" w:tentative="0">
      <w:start w:val="1"/>
      <w:numFmt w:val="decimal"/>
      <w:lvlText w:val="%1.%2.%3.%4.%5.%6.%7.%8"/>
      <w:lvlJc w:val="left"/>
      <w:pPr>
        <w:tabs>
          <w:tab w:val="left" w:pos="4754"/>
        </w:tabs>
        <w:ind w:left="4754" w:hanging="1418"/>
      </w:pPr>
      <w:rPr>
        <w:rFonts w:hint="eastAsia"/>
      </w:rPr>
    </w:lvl>
    <w:lvl w:ilvl="8" w:tentative="0">
      <w:start w:val="1"/>
      <w:numFmt w:val="decimal"/>
      <w:lvlText w:val="%1.%2.%3.%4.%5.%6.%7.%8.%9"/>
      <w:lvlJc w:val="left"/>
      <w:pPr>
        <w:tabs>
          <w:tab w:val="left" w:pos="5462"/>
        </w:tabs>
        <w:ind w:left="546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2NWQ0MjM0MzhmZjI1MjM3NGQ2YjEwZDIzM2ZiYWYifQ=="/>
  </w:docVars>
  <w:rsids>
    <w:rsidRoot w:val="1A591DDE"/>
    <w:rsid w:val="00004959"/>
    <w:rsid w:val="0002635A"/>
    <w:rsid w:val="00031B47"/>
    <w:rsid w:val="00031DB4"/>
    <w:rsid w:val="0006031F"/>
    <w:rsid w:val="00083FAD"/>
    <w:rsid w:val="00087275"/>
    <w:rsid w:val="00093C50"/>
    <w:rsid w:val="000A51D5"/>
    <w:rsid w:val="000B2B4F"/>
    <w:rsid w:val="000C4059"/>
    <w:rsid w:val="000C4460"/>
    <w:rsid w:val="000D5C17"/>
    <w:rsid w:val="000E0814"/>
    <w:rsid w:val="000F0186"/>
    <w:rsid w:val="000F4931"/>
    <w:rsid w:val="001216B5"/>
    <w:rsid w:val="001737AD"/>
    <w:rsid w:val="00173A0F"/>
    <w:rsid w:val="0017680D"/>
    <w:rsid w:val="00176CB8"/>
    <w:rsid w:val="00195E4F"/>
    <w:rsid w:val="001C6999"/>
    <w:rsid w:val="001C72F9"/>
    <w:rsid w:val="001F7F5B"/>
    <w:rsid w:val="00202090"/>
    <w:rsid w:val="00203295"/>
    <w:rsid w:val="002113FE"/>
    <w:rsid w:val="00227C1F"/>
    <w:rsid w:val="00233CDB"/>
    <w:rsid w:val="00241502"/>
    <w:rsid w:val="0024408E"/>
    <w:rsid w:val="00270E90"/>
    <w:rsid w:val="00273DDA"/>
    <w:rsid w:val="00283DC8"/>
    <w:rsid w:val="002B05F3"/>
    <w:rsid w:val="002C70A6"/>
    <w:rsid w:val="002D161A"/>
    <w:rsid w:val="002D4215"/>
    <w:rsid w:val="002D58DC"/>
    <w:rsid w:val="002E4855"/>
    <w:rsid w:val="002F5060"/>
    <w:rsid w:val="002F764C"/>
    <w:rsid w:val="00310D07"/>
    <w:rsid w:val="0031156D"/>
    <w:rsid w:val="003208BC"/>
    <w:rsid w:val="00360EFF"/>
    <w:rsid w:val="003A4EE8"/>
    <w:rsid w:val="003B3203"/>
    <w:rsid w:val="003B387D"/>
    <w:rsid w:val="003C6540"/>
    <w:rsid w:val="00411C49"/>
    <w:rsid w:val="00415EAC"/>
    <w:rsid w:val="00422047"/>
    <w:rsid w:val="00440009"/>
    <w:rsid w:val="00460AB1"/>
    <w:rsid w:val="00486D07"/>
    <w:rsid w:val="004A0203"/>
    <w:rsid w:val="004B54AE"/>
    <w:rsid w:val="004B703F"/>
    <w:rsid w:val="004C36EE"/>
    <w:rsid w:val="004C4328"/>
    <w:rsid w:val="004D1D65"/>
    <w:rsid w:val="004E083E"/>
    <w:rsid w:val="0054726F"/>
    <w:rsid w:val="00563E2B"/>
    <w:rsid w:val="0058491B"/>
    <w:rsid w:val="0059340F"/>
    <w:rsid w:val="005A305F"/>
    <w:rsid w:val="005A7058"/>
    <w:rsid w:val="005C44E8"/>
    <w:rsid w:val="005C6D86"/>
    <w:rsid w:val="005F02F3"/>
    <w:rsid w:val="006121B8"/>
    <w:rsid w:val="006231FB"/>
    <w:rsid w:val="006536F8"/>
    <w:rsid w:val="00664321"/>
    <w:rsid w:val="00673490"/>
    <w:rsid w:val="006915DC"/>
    <w:rsid w:val="0069298B"/>
    <w:rsid w:val="00694619"/>
    <w:rsid w:val="006A0926"/>
    <w:rsid w:val="006A6EAB"/>
    <w:rsid w:val="006B24EA"/>
    <w:rsid w:val="006C5017"/>
    <w:rsid w:val="006E28B4"/>
    <w:rsid w:val="006E5BEA"/>
    <w:rsid w:val="007035BA"/>
    <w:rsid w:val="00703E9C"/>
    <w:rsid w:val="0071799A"/>
    <w:rsid w:val="00724BE7"/>
    <w:rsid w:val="00724C9B"/>
    <w:rsid w:val="00734578"/>
    <w:rsid w:val="007800A7"/>
    <w:rsid w:val="00781484"/>
    <w:rsid w:val="007A2CD1"/>
    <w:rsid w:val="007A3CB2"/>
    <w:rsid w:val="007B3976"/>
    <w:rsid w:val="007B3B28"/>
    <w:rsid w:val="007B4E29"/>
    <w:rsid w:val="007D5E97"/>
    <w:rsid w:val="007D7885"/>
    <w:rsid w:val="007F493F"/>
    <w:rsid w:val="00834EA8"/>
    <w:rsid w:val="00842450"/>
    <w:rsid w:val="00860268"/>
    <w:rsid w:val="008B379C"/>
    <w:rsid w:val="008B7AB1"/>
    <w:rsid w:val="008E7EB4"/>
    <w:rsid w:val="00957F3E"/>
    <w:rsid w:val="00975045"/>
    <w:rsid w:val="009A694D"/>
    <w:rsid w:val="009B55CE"/>
    <w:rsid w:val="009C1B70"/>
    <w:rsid w:val="009C616F"/>
    <w:rsid w:val="009E39B6"/>
    <w:rsid w:val="009E7AEC"/>
    <w:rsid w:val="009F7372"/>
    <w:rsid w:val="00A10F2F"/>
    <w:rsid w:val="00A270CE"/>
    <w:rsid w:val="00A35EFB"/>
    <w:rsid w:val="00A36BB1"/>
    <w:rsid w:val="00A53F33"/>
    <w:rsid w:val="00A55E4E"/>
    <w:rsid w:val="00A60DEE"/>
    <w:rsid w:val="00A644CC"/>
    <w:rsid w:val="00A808DA"/>
    <w:rsid w:val="00A82C1C"/>
    <w:rsid w:val="00A877A9"/>
    <w:rsid w:val="00AB1A4E"/>
    <w:rsid w:val="00AB620E"/>
    <w:rsid w:val="00AC1CB9"/>
    <w:rsid w:val="00AD5422"/>
    <w:rsid w:val="00B24DB5"/>
    <w:rsid w:val="00B43EF2"/>
    <w:rsid w:val="00B82F02"/>
    <w:rsid w:val="00B87549"/>
    <w:rsid w:val="00B965F8"/>
    <w:rsid w:val="00BA4B93"/>
    <w:rsid w:val="00BC643C"/>
    <w:rsid w:val="00BE2AF1"/>
    <w:rsid w:val="00BF62A9"/>
    <w:rsid w:val="00C1449A"/>
    <w:rsid w:val="00C3617C"/>
    <w:rsid w:val="00C4204C"/>
    <w:rsid w:val="00C66352"/>
    <w:rsid w:val="00C66399"/>
    <w:rsid w:val="00C7699F"/>
    <w:rsid w:val="00C95158"/>
    <w:rsid w:val="00CA38BB"/>
    <w:rsid w:val="00CA7925"/>
    <w:rsid w:val="00CC0978"/>
    <w:rsid w:val="00CC565F"/>
    <w:rsid w:val="00CE0755"/>
    <w:rsid w:val="00CF5289"/>
    <w:rsid w:val="00D01A4B"/>
    <w:rsid w:val="00D22DFD"/>
    <w:rsid w:val="00D36930"/>
    <w:rsid w:val="00D61648"/>
    <w:rsid w:val="00D665A3"/>
    <w:rsid w:val="00D90A1C"/>
    <w:rsid w:val="00DA1401"/>
    <w:rsid w:val="00DA6B9E"/>
    <w:rsid w:val="00DD4B64"/>
    <w:rsid w:val="00DE010D"/>
    <w:rsid w:val="00DE4D2E"/>
    <w:rsid w:val="00DF3D73"/>
    <w:rsid w:val="00DF44C9"/>
    <w:rsid w:val="00E0177E"/>
    <w:rsid w:val="00E21350"/>
    <w:rsid w:val="00E23012"/>
    <w:rsid w:val="00E313DA"/>
    <w:rsid w:val="00E33012"/>
    <w:rsid w:val="00E60712"/>
    <w:rsid w:val="00E87416"/>
    <w:rsid w:val="00E94BF9"/>
    <w:rsid w:val="00EA74C2"/>
    <w:rsid w:val="00ED409A"/>
    <w:rsid w:val="00ED7EAA"/>
    <w:rsid w:val="00EF4B2B"/>
    <w:rsid w:val="00EF6654"/>
    <w:rsid w:val="00F07DC1"/>
    <w:rsid w:val="00F3182A"/>
    <w:rsid w:val="00F33486"/>
    <w:rsid w:val="00F509C9"/>
    <w:rsid w:val="00F577CE"/>
    <w:rsid w:val="00F72615"/>
    <w:rsid w:val="00F9428A"/>
    <w:rsid w:val="00FA0D11"/>
    <w:rsid w:val="00FA153B"/>
    <w:rsid w:val="00FD02AA"/>
    <w:rsid w:val="00FD47B1"/>
    <w:rsid w:val="01083E06"/>
    <w:rsid w:val="010D7DD7"/>
    <w:rsid w:val="01E71222"/>
    <w:rsid w:val="02143715"/>
    <w:rsid w:val="02753E85"/>
    <w:rsid w:val="029309A9"/>
    <w:rsid w:val="02CC5540"/>
    <w:rsid w:val="03201EFA"/>
    <w:rsid w:val="03874001"/>
    <w:rsid w:val="041E41CE"/>
    <w:rsid w:val="045722F4"/>
    <w:rsid w:val="04604638"/>
    <w:rsid w:val="052F6ED5"/>
    <w:rsid w:val="05BF774E"/>
    <w:rsid w:val="067A1B56"/>
    <w:rsid w:val="06A905A2"/>
    <w:rsid w:val="07344132"/>
    <w:rsid w:val="076D6DDA"/>
    <w:rsid w:val="07E80E58"/>
    <w:rsid w:val="098E326A"/>
    <w:rsid w:val="09D012DA"/>
    <w:rsid w:val="0A8A693C"/>
    <w:rsid w:val="0AA8356C"/>
    <w:rsid w:val="0B0A3B60"/>
    <w:rsid w:val="0B0B35D9"/>
    <w:rsid w:val="0C550884"/>
    <w:rsid w:val="0C771B85"/>
    <w:rsid w:val="0D260538"/>
    <w:rsid w:val="0E116D06"/>
    <w:rsid w:val="0E497E67"/>
    <w:rsid w:val="0F197D97"/>
    <w:rsid w:val="10F569DA"/>
    <w:rsid w:val="111D21EA"/>
    <w:rsid w:val="11267647"/>
    <w:rsid w:val="11E93F48"/>
    <w:rsid w:val="11F64AA7"/>
    <w:rsid w:val="12A93F90"/>
    <w:rsid w:val="12F551F1"/>
    <w:rsid w:val="135C4D19"/>
    <w:rsid w:val="13B564B0"/>
    <w:rsid w:val="14A80541"/>
    <w:rsid w:val="14ED40C7"/>
    <w:rsid w:val="15510782"/>
    <w:rsid w:val="156C6FC1"/>
    <w:rsid w:val="16523366"/>
    <w:rsid w:val="16E54880"/>
    <w:rsid w:val="1719221A"/>
    <w:rsid w:val="173E79FF"/>
    <w:rsid w:val="17514A69"/>
    <w:rsid w:val="17B52C14"/>
    <w:rsid w:val="17C04C0A"/>
    <w:rsid w:val="187974FA"/>
    <w:rsid w:val="18A108F4"/>
    <w:rsid w:val="190C4716"/>
    <w:rsid w:val="19122EEB"/>
    <w:rsid w:val="19644EE1"/>
    <w:rsid w:val="19AA631D"/>
    <w:rsid w:val="1A150893"/>
    <w:rsid w:val="1A591DDE"/>
    <w:rsid w:val="1A86298E"/>
    <w:rsid w:val="1B2528D8"/>
    <w:rsid w:val="1B464144"/>
    <w:rsid w:val="1B493399"/>
    <w:rsid w:val="1B7A6789"/>
    <w:rsid w:val="1C1F6EE7"/>
    <w:rsid w:val="1CA07928"/>
    <w:rsid w:val="1CAA37B1"/>
    <w:rsid w:val="1D62374A"/>
    <w:rsid w:val="1DD17BC8"/>
    <w:rsid w:val="1DEA263F"/>
    <w:rsid w:val="1E595059"/>
    <w:rsid w:val="1E8B3659"/>
    <w:rsid w:val="201125B6"/>
    <w:rsid w:val="20126D60"/>
    <w:rsid w:val="205304B4"/>
    <w:rsid w:val="20A32B05"/>
    <w:rsid w:val="20FD356C"/>
    <w:rsid w:val="21B1014C"/>
    <w:rsid w:val="22D4654E"/>
    <w:rsid w:val="22E66FF7"/>
    <w:rsid w:val="237438E6"/>
    <w:rsid w:val="247D451E"/>
    <w:rsid w:val="24AB06AB"/>
    <w:rsid w:val="252F0D4D"/>
    <w:rsid w:val="25D65EA6"/>
    <w:rsid w:val="26442E7A"/>
    <w:rsid w:val="264E00B0"/>
    <w:rsid w:val="26752461"/>
    <w:rsid w:val="26DC2B22"/>
    <w:rsid w:val="26E37285"/>
    <w:rsid w:val="26F66458"/>
    <w:rsid w:val="27565784"/>
    <w:rsid w:val="277B272D"/>
    <w:rsid w:val="27C070A1"/>
    <w:rsid w:val="27F76F67"/>
    <w:rsid w:val="285777B6"/>
    <w:rsid w:val="29B97166"/>
    <w:rsid w:val="2A781B3D"/>
    <w:rsid w:val="2B3F259D"/>
    <w:rsid w:val="2B460E22"/>
    <w:rsid w:val="2C81417F"/>
    <w:rsid w:val="2C98397F"/>
    <w:rsid w:val="2CB3185C"/>
    <w:rsid w:val="2CBC077F"/>
    <w:rsid w:val="2CC74AD4"/>
    <w:rsid w:val="2D9D7C47"/>
    <w:rsid w:val="2DDC2106"/>
    <w:rsid w:val="2E394DD4"/>
    <w:rsid w:val="2EAC72D7"/>
    <w:rsid w:val="2EF97A69"/>
    <w:rsid w:val="310C5FFB"/>
    <w:rsid w:val="3116631F"/>
    <w:rsid w:val="312848E8"/>
    <w:rsid w:val="313C3C3D"/>
    <w:rsid w:val="3206329E"/>
    <w:rsid w:val="32070F77"/>
    <w:rsid w:val="334A0741"/>
    <w:rsid w:val="33980BDF"/>
    <w:rsid w:val="33E12879"/>
    <w:rsid w:val="340D366E"/>
    <w:rsid w:val="34891D9E"/>
    <w:rsid w:val="34FD2AA4"/>
    <w:rsid w:val="356275B3"/>
    <w:rsid w:val="35932208"/>
    <w:rsid w:val="368020F4"/>
    <w:rsid w:val="36A7022A"/>
    <w:rsid w:val="36C4095C"/>
    <w:rsid w:val="3707134D"/>
    <w:rsid w:val="37F9234E"/>
    <w:rsid w:val="38327A44"/>
    <w:rsid w:val="38476F2B"/>
    <w:rsid w:val="393E4B9E"/>
    <w:rsid w:val="3A4171B1"/>
    <w:rsid w:val="3A963953"/>
    <w:rsid w:val="3B05715C"/>
    <w:rsid w:val="3B597AB2"/>
    <w:rsid w:val="3B712A51"/>
    <w:rsid w:val="3BAF1ED9"/>
    <w:rsid w:val="3C3F4DDD"/>
    <w:rsid w:val="3C7C4C6B"/>
    <w:rsid w:val="3C9F32D2"/>
    <w:rsid w:val="3CBA372A"/>
    <w:rsid w:val="3CDF4B5D"/>
    <w:rsid w:val="3D134987"/>
    <w:rsid w:val="3D204412"/>
    <w:rsid w:val="3D5E7801"/>
    <w:rsid w:val="3DA17DAA"/>
    <w:rsid w:val="3E642B43"/>
    <w:rsid w:val="3E816007"/>
    <w:rsid w:val="3EB84E03"/>
    <w:rsid w:val="3EF45B57"/>
    <w:rsid w:val="3F4E301C"/>
    <w:rsid w:val="409601A4"/>
    <w:rsid w:val="40BA45FA"/>
    <w:rsid w:val="40F224E6"/>
    <w:rsid w:val="41694D41"/>
    <w:rsid w:val="418F5A6D"/>
    <w:rsid w:val="42F8373B"/>
    <w:rsid w:val="43236A0A"/>
    <w:rsid w:val="43476E1F"/>
    <w:rsid w:val="436451E8"/>
    <w:rsid w:val="43D437E5"/>
    <w:rsid w:val="443C5FD9"/>
    <w:rsid w:val="447402C3"/>
    <w:rsid w:val="44837ACD"/>
    <w:rsid w:val="44A21D17"/>
    <w:rsid w:val="44BD4F40"/>
    <w:rsid w:val="44D73F50"/>
    <w:rsid w:val="44F56DEC"/>
    <w:rsid w:val="4547717A"/>
    <w:rsid w:val="45C8227E"/>
    <w:rsid w:val="45E17E4C"/>
    <w:rsid w:val="46477E5A"/>
    <w:rsid w:val="47272E48"/>
    <w:rsid w:val="47613A9B"/>
    <w:rsid w:val="47760FB1"/>
    <w:rsid w:val="485B7793"/>
    <w:rsid w:val="48AC2FFE"/>
    <w:rsid w:val="48CC3A35"/>
    <w:rsid w:val="496422E0"/>
    <w:rsid w:val="49AE5C9B"/>
    <w:rsid w:val="49DA1D5B"/>
    <w:rsid w:val="49E746AE"/>
    <w:rsid w:val="4A1E2F45"/>
    <w:rsid w:val="4A6462AD"/>
    <w:rsid w:val="4A9F16A5"/>
    <w:rsid w:val="4ADD71B7"/>
    <w:rsid w:val="4C1F2D2B"/>
    <w:rsid w:val="4C4D7360"/>
    <w:rsid w:val="4C7A05F5"/>
    <w:rsid w:val="4C997D3D"/>
    <w:rsid w:val="4CA2703F"/>
    <w:rsid w:val="4CA566E2"/>
    <w:rsid w:val="4EB85494"/>
    <w:rsid w:val="4EFE79A8"/>
    <w:rsid w:val="4F444E17"/>
    <w:rsid w:val="4F804917"/>
    <w:rsid w:val="4FB04245"/>
    <w:rsid w:val="502D39F4"/>
    <w:rsid w:val="50637764"/>
    <w:rsid w:val="508C4ABB"/>
    <w:rsid w:val="50C17E6D"/>
    <w:rsid w:val="50F47A2B"/>
    <w:rsid w:val="528C4E91"/>
    <w:rsid w:val="52BE6470"/>
    <w:rsid w:val="54696368"/>
    <w:rsid w:val="54E05530"/>
    <w:rsid w:val="54E3311F"/>
    <w:rsid w:val="55185C98"/>
    <w:rsid w:val="55B23652"/>
    <w:rsid w:val="5652196D"/>
    <w:rsid w:val="565E627F"/>
    <w:rsid w:val="56773AE1"/>
    <w:rsid w:val="582321CD"/>
    <w:rsid w:val="592B0A4E"/>
    <w:rsid w:val="597C5EAF"/>
    <w:rsid w:val="59AA4636"/>
    <w:rsid w:val="59BA3E3C"/>
    <w:rsid w:val="5A564DBF"/>
    <w:rsid w:val="5ACF0B2C"/>
    <w:rsid w:val="5C1C0819"/>
    <w:rsid w:val="5D070974"/>
    <w:rsid w:val="5DAB3F1E"/>
    <w:rsid w:val="5DD77CD9"/>
    <w:rsid w:val="60D828F0"/>
    <w:rsid w:val="62A02314"/>
    <w:rsid w:val="62AC0477"/>
    <w:rsid w:val="62B732E7"/>
    <w:rsid w:val="62B85A7B"/>
    <w:rsid w:val="62F8175E"/>
    <w:rsid w:val="63DC07E4"/>
    <w:rsid w:val="641451FA"/>
    <w:rsid w:val="64261AD6"/>
    <w:rsid w:val="646A4130"/>
    <w:rsid w:val="64A75BA8"/>
    <w:rsid w:val="65471BFB"/>
    <w:rsid w:val="65AB20ED"/>
    <w:rsid w:val="65C64497"/>
    <w:rsid w:val="665E2E10"/>
    <w:rsid w:val="66E61505"/>
    <w:rsid w:val="673C70C3"/>
    <w:rsid w:val="67762BC6"/>
    <w:rsid w:val="67BD298D"/>
    <w:rsid w:val="67F22DB2"/>
    <w:rsid w:val="685B56D5"/>
    <w:rsid w:val="688651C2"/>
    <w:rsid w:val="69FA7819"/>
    <w:rsid w:val="6AB91FF0"/>
    <w:rsid w:val="6B0C633A"/>
    <w:rsid w:val="6B8B2E4D"/>
    <w:rsid w:val="6BCA38BD"/>
    <w:rsid w:val="6BD531AE"/>
    <w:rsid w:val="6BF53A40"/>
    <w:rsid w:val="6BFB1401"/>
    <w:rsid w:val="6C1D408F"/>
    <w:rsid w:val="6C8859AD"/>
    <w:rsid w:val="6E7C55BB"/>
    <w:rsid w:val="6E943C51"/>
    <w:rsid w:val="6F1D0485"/>
    <w:rsid w:val="6FBC771B"/>
    <w:rsid w:val="701223C5"/>
    <w:rsid w:val="708579F8"/>
    <w:rsid w:val="716601CB"/>
    <w:rsid w:val="71D157E5"/>
    <w:rsid w:val="720F6228"/>
    <w:rsid w:val="721D6FC9"/>
    <w:rsid w:val="72852858"/>
    <w:rsid w:val="728F50AE"/>
    <w:rsid w:val="72B847DD"/>
    <w:rsid w:val="72D134DE"/>
    <w:rsid w:val="72E4615A"/>
    <w:rsid w:val="73597C3D"/>
    <w:rsid w:val="73B515D9"/>
    <w:rsid w:val="75311146"/>
    <w:rsid w:val="75EE7C29"/>
    <w:rsid w:val="76BE1FCB"/>
    <w:rsid w:val="76E46391"/>
    <w:rsid w:val="78CC2F90"/>
    <w:rsid w:val="790E0D86"/>
    <w:rsid w:val="79555155"/>
    <w:rsid w:val="796079CC"/>
    <w:rsid w:val="796B0B35"/>
    <w:rsid w:val="798F15E5"/>
    <w:rsid w:val="79FB42D6"/>
    <w:rsid w:val="7A29159E"/>
    <w:rsid w:val="7A8C29BF"/>
    <w:rsid w:val="7B203FAB"/>
    <w:rsid w:val="7B3511D6"/>
    <w:rsid w:val="7B6D11A9"/>
    <w:rsid w:val="7BB157ED"/>
    <w:rsid w:val="7BD67429"/>
    <w:rsid w:val="7C8D0A8A"/>
    <w:rsid w:val="7CEB6B39"/>
    <w:rsid w:val="7DA1100D"/>
    <w:rsid w:val="7EFB28E4"/>
    <w:rsid w:val="7EFE5FC4"/>
    <w:rsid w:val="7F1A4FD6"/>
    <w:rsid w:val="7F4218EA"/>
    <w:rsid w:val="7F816CF9"/>
    <w:rsid w:val="7FB76207"/>
    <w:rsid w:val="7FBC35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3"/>
    <w:autoRedefine/>
    <w:qFormat/>
    <w:uiPriority w:val="0"/>
    <w:pPr>
      <w:keepNext/>
      <w:keepLines/>
      <w:outlineLvl w:val="0"/>
    </w:pPr>
    <w:rPr>
      <w:rFonts w:ascii="黑体" w:hAnsi="黑体" w:eastAsia="黑体"/>
      <w:b/>
      <w:bCs/>
      <w:kern w:val="44"/>
      <w:sz w:val="36"/>
      <w:szCs w:val="44"/>
    </w:rPr>
  </w:style>
  <w:style w:type="paragraph" w:styleId="4">
    <w:name w:val="heading 2"/>
    <w:basedOn w:val="1"/>
    <w:next w:val="1"/>
    <w:link w:val="75"/>
    <w:autoRedefine/>
    <w:qFormat/>
    <w:uiPriority w:val="0"/>
    <w:pPr>
      <w:keepNext/>
      <w:keepLines/>
      <w:spacing w:before="260" w:after="260" w:line="413" w:lineRule="auto"/>
      <w:outlineLvl w:val="1"/>
    </w:pPr>
    <w:rPr>
      <w:rFonts w:ascii="Arial" w:hAnsi="Arial" w:eastAsia="黑体"/>
      <w:b/>
      <w:bCs/>
      <w:kern w:val="0"/>
      <w:sz w:val="32"/>
      <w:szCs w:val="32"/>
    </w:rPr>
  </w:style>
  <w:style w:type="paragraph" w:styleId="5">
    <w:name w:val="heading 3"/>
    <w:basedOn w:val="1"/>
    <w:next w:val="1"/>
    <w:link w:val="64"/>
    <w:autoRedefine/>
    <w:qFormat/>
    <w:uiPriority w:val="0"/>
    <w:pPr>
      <w:keepNext/>
      <w:keepLines/>
      <w:spacing w:before="260" w:after="260" w:line="413" w:lineRule="auto"/>
      <w:outlineLvl w:val="2"/>
    </w:pPr>
    <w:rPr>
      <w:b/>
      <w:bCs/>
      <w:sz w:val="32"/>
      <w:szCs w:val="32"/>
    </w:rPr>
  </w:style>
  <w:style w:type="paragraph" w:styleId="6">
    <w:name w:val="heading 4"/>
    <w:basedOn w:val="1"/>
    <w:next w:val="1"/>
    <w:link w:val="68"/>
    <w:autoRedefine/>
    <w:qFormat/>
    <w:uiPriority w:val="0"/>
    <w:pPr>
      <w:keepNext/>
      <w:keepLines/>
      <w:spacing w:before="280" w:after="290" w:line="374" w:lineRule="auto"/>
      <w:outlineLvl w:val="3"/>
    </w:pPr>
    <w:rPr>
      <w:rFonts w:ascii="Cambria" w:hAnsi="Cambria"/>
      <w:b/>
      <w:bCs/>
      <w:sz w:val="28"/>
      <w:szCs w:val="28"/>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next w:val="1"/>
    <w:link w:val="74"/>
    <w:autoRedefine/>
    <w:qFormat/>
    <w:uiPriority w:val="0"/>
    <w:pPr>
      <w:spacing w:after="120"/>
      <w:ind w:left="420" w:leftChars="200"/>
    </w:pPr>
  </w:style>
  <w:style w:type="paragraph" w:styleId="7">
    <w:name w:val="toc 7"/>
    <w:basedOn w:val="1"/>
    <w:next w:val="1"/>
    <w:autoRedefine/>
    <w:qFormat/>
    <w:uiPriority w:val="0"/>
    <w:pPr>
      <w:ind w:left="2520" w:leftChars="1200"/>
    </w:pPr>
  </w:style>
  <w:style w:type="paragraph" w:styleId="8">
    <w:name w:val="table of authorities"/>
    <w:basedOn w:val="1"/>
    <w:next w:val="1"/>
    <w:autoRedefine/>
    <w:qFormat/>
    <w:uiPriority w:val="0"/>
    <w:pPr>
      <w:ind w:left="420" w:leftChars="200"/>
    </w:pPr>
  </w:style>
  <w:style w:type="paragraph" w:styleId="9">
    <w:name w:val="Normal Indent"/>
    <w:basedOn w:val="1"/>
    <w:link w:val="65"/>
    <w:autoRedefine/>
    <w:qFormat/>
    <w:uiPriority w:val="0"/>
    <w:pPr>
      <w:autoSpaceDE w:val="0"/>
      <w:autoSpaceDN w:val="0"/>
      <w:adjustRightInd w:val="0"/>
      <w:ind w:firstLine="630"/>
    </w:pPr>
    <w:rPr>
      <w:kern w:val="0"/>
      <w:sz w:val="32"/>
      <w:szCs w:val="20"/>
    </w:rPr>
  </w:style>
  <w:style w:type="paragraph" w:styleId="10">
    <w:name w:val="Document Map"/>
    <w:basedOn w:val="1"/>
    <w:link w:val="72"/>
    <w:autoRedefine/>
    <w:qFormat/>
    <w:uiPriority w:val="0"/>
    <w:rPr>
      <w:rFonts w:ascii="宋体"/>
      <w:sz w:val="18"/>
      <w:szCs w:val="18"/>
    </w:rPr>
  </w:style>
  <w:style w:type="paragraph" w:styleId="11">
    <w:name w:val="annotation text"/>
    <w:basedOn w:val="1"/>
    <w:link w:val="58"/>
    <w:autoRedefine/>
    <w:qFormat/>
    <w:uiPriority w:val="0"/>
    <w:pPr>
      <w:jc w:val="left"/>
    </w:pPr>
  </w:style>
  <w:style w:type="paragraph" w:styleId="12">
    <w:name w:val="Body Text"/>
    <w:basedOn w:val="1"/>
    <w:autoRedefine/>
    <w:qFormat/>
    <w:uiPriority w:val="0"/>
    <w:pPr>
      <w:numPr>
        <w:ilvl w:val="0"/>
        <w:numId w:val="1"/>
      </w:numPr>
      <w:tabs>
        <w:tab w:val="clear" w:pos="780"/>
      </w:tabs>
      <w:ind w:left="0" w:firstLine="0"/>
    </w:pPr>
    <w:rPr>
      <w:rFonts w:ascii="黑体" w:eastAsia="黑体"/>
      <w:sz w:val="22"/>
    </w:rPr>
  </w:style>
  <w:style w:type="paragraph" w:styleId="13">
    <w:name w:val="toc 5"/>
    <w:basedOn w:val="1"/>
    <w:next w:val="1"/>
    <w:autoRedefine/>
    <w:qFormat/>
    <w:uiPriority w:val="0"/>
    <w:pPr>
      <w:ind w:left="1680" w:leftChars="800"/>
    </w:pPr>
  </w:style>
  <w:style w:type="paragraph" w:styleId="14">
    <w:name w:val="toc 3"/>
    <w:basedOn w:val="1"/>
    <w:next w:val="1"/>
    <w:autoRedefine/>
    <w:qFormat/>
    <w:uiPriority w:val="39"/>
    <w:pPr>
      <w:ind w:left="840" w:leftChars="400"/>
    </w:pPr>
  </w:style>
  <w:style w:type="paragraph" w:styleId="15">
    <w:name w:val="Plain Text"/>
    <w:basedOn w:val="1"/>
    <w:link w:val="56"/>
    <w:autoRedefine/>
    <w:qFormat/>
    <w:uiPriority w:val="0"/>
    <w:rPr>
      <w:rFonts w:ascii="宋体" w:hAnsi="Courier New"/>
      <w:szCs w:val="20"/>
    </w:rPr>
  </w:style>
  <w:style w:type="paragraph" w:styleId="16">
    <w:name w:val="toc 8"/>
    <w:basedOn w:val="1"/>
    <w:next w:val="1"/>
    <w:autoRedefine/>
    <w:qFormat/>
    <w:uiPriority w:val="0"/>
    <w:pPr>
      <w:ind w:left="2940" w:leftChars="1400"/>
    </w:pPr>
  </w:style>
  <w:style w:type="paragraph" w:styleId="17">
    <w:name w:val="Balloon Text"/>
    <w:basedOn w:val="1"/>
    <w:link w:val="57"/>
    <w:autoRedefine/>
    <w:qFormat/>
    <w:uiPriority w:val="0"/>
    <w:rPr>
      <w:sz w:val="18"/>
      <w:szCs w:val="18"/>
    </w:rPr>
  </w:style>
  <w:style w:type="paragraph" w:styleId="18">
    <w:name w:val="footer"/>
    <w:basedOn w:val="1"/>
    <w:link w:val="66"/>
    <w:autoRedefine/>
    <w:qFormat/>
    <w:uiPriority w:val="0"/>
    <w:pPr>
      <w:tabs>
        <w:tab w:val="center" w:pos="4153"/>
        <w:tab w:val="right" w:pos="8306"/>
      </w:tabs>
      <w:snapToGrid w:val="0"/>
      <w:jc w:val="left"/>
    </w:pPr>
    <w:rPr>
      <w:sz w:val="18"/>
      <w:szCs w:val="18"/>
    </w:rPr>
  </w:style>
  <w:style w:type="paragraph" w:styleId="19">
    <w:name w:val="header"/>
    <w:basedOn w:val="1"/>
    <w:link w:val="62"/>
    <w:autoRedefine/>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autoRedefine/>
    <w:qFormat/>
    <w:uiPriority w:val="0"/>
  </w:style>
  <w:style w:type="paragraph" w:styleId="21">
    <w:name w:val="toc 4"/>
    <w:basedOn w:val="1"/>
    <w:next w:val="1"/>
    <w:autoRedefine/>
    <w:qFormat/>
    <w:uiPriority w:val="0"/>
    <w:pPr>
      <w:ind w:left="1260" w:leftChars="600"/>
    </w:pPr>
  </w:style>
  <w:style w:type="paragraph" w:styleId="22">
    <w:name w:val="toc 6"/>
    <w:basedOn w:val="1"/>
    <w:next w:val="1"/>
    <w:autoRedefine/>
    <w:qFormat/>
    <w:uiPriority w:val="0"/>
    <w:pPr>
      <w:ind w:left="2100" w:leftChars="1000"/>
    </w:pPr>
  </w:style>
  <w:style w:type="paragraph" w:styleId="23">
    <w:name w:val="toc 2"/>
    <w:basedOn w:val="1"/>
    <w:next w:val="1"/>
    <w:autoRedefine/>
    <w:qFormat/>
    <w:uiPriority w:val="39"/>
    <w:pPr>
      <w:ind w:left="420" w:leftChars="200"/>
    </w:pPr>
  </w:style>
  <w:style w:type="paragraph" w:styleId="24">
    <w:name w:val="toc 9"/>
    <w:basedOn w:val="1"/>
    <w:next w:val="1"/>
    <w:autoRedefine/>
    <w:qFormat/>
    <w:uiPriority w:val="0"/>
    <w:pPr>
      <w:ind w:left="3360" w:leftChars="1600"/>
    </w:pPr>
  </w:style>
  <w:style w:type="paragraph" w:styleId="25">
    <w:name w:val="Body Text 2"/>
    <w:basedOn w:val="1"/>
    <w:autoRedefine/>
    <w:qFormat/>
    <w:uiPriority w:val="0"/>
    <w:pPr>
      <w:spacing w:after="120" w:line="480" w:lineRule="auto"/>
    </w:pPr>
  </w:style>
  <w:style w:type="paragraph" w:styleId="26">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paragraph" w:styleId="27">
    <w:name w:val="annotation subject"/>
    <w:basedOn w:val="11"/>
    <w:next w:val="11"/>
    <w:link w:val="61"/>
    <w:autoRedefine/>
    <w:qFormat/>
    <w:uiPriority w:val="0"/>
    <w:rPr>
      <w:b/>
      <w:bCs/>
    </w:rPr>
  </w:style>
  <w:style w:type="table" w:styleId="29">
    <w:name w:val="Table Grid"/>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page number"/>
    <w:basedOn w:val="30"/>
    <w:autoRedefine/>
    <w:qFormat/>
    <w:uiPriority w:val="0"/>
  </w:style>
  <w:style w:type="character" w:styleId="32">
    <w:name w:val="Hyperlink"/>
    <w:autoRedefine/>
    <w:qFormat/>
    <w:uiPriority w:val="0"/>
    <w:rPr>
      <w:color w:val="0000FF"/>
      <w:u w:val="single"/>
    </w:rPr>
  </w:style>
  <w:style w:type="character" w:styleId="33">
    <w:name w:val="annotation reference"/>
    <w:autoRedefine/>
    <w:qFormat/>
    <w:uiPriority w:val="0"/>
    <w:rPr>
      <w:sz w:val="21"/>
      <w:szCs w:val="21"/>
    </w:rPr>
  </w:style>
  <w:style w:type="paragraph" w:customStyle="1" w:styleId="34">
    <w:name w:val="BodyText"/>
    <w:basedOn w:val="1"/>
    <w:next w:val="1"/>
    <w:autoRedefine/>
    <w:qFormat/>
    <w:uiPriority w:val="0"/>
    <w:pPr>
      <w:spacing w:after="120"/>
      <w:jc w:val="left"/>
    </w:pPr>
    <w:rPr>
      <w:rFonts w:hAnsi="Calibri"/>
      <w:sz w:val="24"/>
    </w:rPr>
  </w:style>
  <w:style w:type="paragraph" w:customStyle="1" w:styleId="35">
    <w:name w:val="正文首行缩进两字符"/>
    <w:basedOn w:val="1"/>
    <w:autoRedefine/>
    <w:qFormat/>
    <w:uiPriority w:val="0"/>
    <w:pPr>
      <w:ind w:firstLine="200" w:firstLineChars="200"/>
    </w:pPr>
    <w:rPr>
      <w:rFonts w:ascii="宋体" w:hAnsi="宋体" w:cs="宋体"/>
      <w:kern w:val="0"/>
      <w:sz w:val="34"/>
      <w:szCs w:val="34"/>
    </w:rPr>
  </w:style>
  <w:style w:type="paragraph" w:customStyle="1" w:styleId="36">
    <w:name w:val="Char1 Char Char Char Char Char Char"/>
    <w:basedOn w:val="1"/>
    <w:autoRedefine/>
    <w:qFormat/>
    <w:uiPriority w:val="0"/>
    <w:rPr>
      <w:rFonts w:ascii="Tahoma" w:hAnsi="Tahoma"/>
      <w:sz w:val="24"/>
      <w:szCs w:val="20"/>
    </w:rPr>
  </w:style>
  <w:style w:type="paragraph" w:customStyle="1" w:styleId="37">
    <w:name w:val="Char Char Char Char"/>
    <w:basedOn w:val="1"/>
    <w:autoRedefine/>
    <w:qFormat/>
    <w:uiPriority w:val="0"/>
    <w:pPr>
      <w:spacing w:line="240" w:lineRule="atLeast"/>
      <w:ind w:left="420" w:firstLine="420"/>
    </w:pPr>
    <w:rPr>
      <w:kern w:val="0"/>
      <w:szCs w:val="21"/>
    </w:rPr>
  </w:style>
  <w:style w:type="paragraph" w:customStyle="1" w:styleId="38">
    <w:name w:val="(符号)三标题1.1"/>
    <w:basedOn w:val="1"/>
    <w:autoRedefine/>
    <w:qFormat/>
    <w:uiPriority w:val="0"/>
    <w:pPr>
      <w:numPr>
        <w:ilvl w:val="2"/>
        <w:numId w:val="1"/>
      </w:numPr>
      <w:tabs>
        <w:tab w:val="left" w:pos="780"/>
        <w:tab w:val="clear" w:pos="1360"/>
      </w:tabs>
      <w:spacing w:before="140" w:after="140" w:line="500" w:lineRule="exact"/>
      <w:ind w:left="790" w:hanging="430"/>
      <w:outlineLvl w:val="2"/>
    </w:pPr>
    <w:rPr>
      <w:rFonts w:ascii="楷体_GB2312" w:hAnsi="宋体" w:eastAsia="楷体_GB2312" w:cs="宋体"/>
      <w:b/>
      <w:bCs/>
      <w:sz w:val="28"/>
      <w:szCs w:val="20"/>
    </w:rPr>
  </w:style>
  <w:style w:type="paragraph" w:customStyle="1" w:styleId="39">
    <w:name w:val="（符号）三标题1.1"/>
    <w:basedOn w:val="1"/>
    <w:autoRedefine/>
    <w:qFormat/>
    <w:uiPriority w:val="0"/>
    <w:pPr>
      <w:numPr>
        <w:ilvl w:val="1"/>
        <w:numId w:val="1"/>
      </w:numPr>
      <w:spacing w:line="500" w:lineRule="exact"/>
    </w:pPr>
    <w:rPr>
      <w:rFonts w:ascii="宋体" w:hAnsi="宋体"/>
      <w:sz w:val="24"/>
    </w:rPr>
  </w:style>
  <w:style w:type="paragraph" w:customStyle="1" w:styleId="40">
    <w:name w:val="标题3"/>
    <w:basedOn w:val="5"/>
    <w:next w:val="5"/>
    <w:autoRedefine/>
    <w:qFormat/>
    <w:uiPriority w:val="0"/>
    <w:pPr>
      <w:spacing w:line="360" w:lineRule="auto"/>
    </w:pPr>
    <w:rPr>
      <w:rFonts w:ascii="宋体" w:hAnsi="宋体"/>
      <w:b w:val="0"/>
      <w:sz w:val="24"/>
      <w:szCs w:val="28"/>
    </w:rPr>
  </w:style>
  <w:style w:type="paragraph" w:customStyle="1" w:styleId="41">
    <w:name w:val="标题2"/>
    <w:basedOn w:val="4"/>
    <w:next w:val="4"/>
    <w:autoRedefine/>
    <w:qFormat/>
    <w:uiPriority w:val="0"/>
    <w:pPr>
      <w:spacing w:line="360" w:lineRule="auto"/>
      <w:jc w:val="center"/>
    </w:pPr>
    <w:rPr>
      <w:rFonts w:ascii="宋体" w:hAnsi="宋体"/>
    </w:rPr>
  </w:style>
  <w:style w:type="paragraph" w:customStyle="1" w:styleId="42">
    <w:name w:val="表格"/>
    <w:basedOn w:val="1"/>
    <w:autoRedefine/>
    <w:qFormat/>
    <w:uiPriority w:val="0"/>
    <w:pPr>
      <w:spacing w:line="400" w:lineRule="exact"/>
    </w:pPr>
    <w:rPr>
      <w:sz w:val="24"/>
    </w:rPr>
  </w:style>
  <w:style w:type="paragraph" w:customStyle="1" w:styleId="43">
    <w:name w:val="标题1"/>
    <w:basedOn w:val="8"/>
    <w:next w:val="3"/>
    <w:autoRedefine/>
    <w:qFormat/>
    <w:uiPriority w:val="0"/>
    <w:pPr>
      <w:jc w:val="center"/>
    </w:pPr>
    <w:rPr>
      <w:rFonts w:ascii="宋体" w:hAnsi="宋体"/>
      <w:b/>
      <w:kern w:val="0"/>
      <w:sz w:val="44"/>
      <w:szCs w:val="44"/>
    </w:rPr>
  </w:style>
  <w:style w:type="paragraph" w:customStyle="1" w:styleId="44">
    <w:name w:val="列出段落1"/>
    <w:basedOn w:val="1"/>
    <w:autoRedefine/>
    <w:qFormat/>
    <w:uiPriority w:val="0"/>
    <w:pPr>
      <w:ind w:firstLine="420" w:firstLineChars="200"/>
    </w:pPr>
  </w:style>
  <w:style w:type="paragraph" w:customStyle="1" w:styleId="45">
    <w:name w:val="Char Char Char Char Char Char1 Char"/>
    <w:basedOn w:val="10"/>
    <w:autoRedefine/>
    <w:qFormat/>
    <w:uiPriority w:val="0"/>
    <w:pPr>
      <w:shd w:val="clear" w:color="auto" w:fill="000080"/>
    </w:pPr>
    <w:rPr>
      <w:rFonts w:ascii="Tahoma" w:hAnsi="Tahoma"/>
      <w:sz w:val="24"/>
      <w:szCs w:val="24"/>
    </w:rPr>
  </w:style>
  <w:style w:type="paragraph" w:customStyle="1" w:styleId="46">
    <w:name w:val="List Paragraph1"/>
    <w:basedOn w:val="1"/>
    <w:autoRedefine/>
    <w:qFormat/>
    <w:uiPriority w:val="0"/>
    <w:pPr>
      <w:ind w:firstLine="420" w:firstLineChars="200"/>
    </w:pPr>
  </w:style>
  <w:style w:type="paragraph" w:customStyle="1" w:styleId="47">
    <w:name w:val="样式 标题3 + 加粗"/>
    <w:basedOn w:val="40"/>
    <w:autoRedefine/>
    <w:qFormat/>
    <w:uiPriority w:val="0"/>
  </w:style>
  <w:style w:type="paragraph" w:customStyle="1" w:styleId="48">
    <w:name w:val="样式"/>
    <w:autoRedefine/>
    <w:qFormat/>
    <w:uiPriority w:val="0"/>
    <w:pPr>
      <w:widowControl w:val="0"/>
      <w:autoSpaceDE w:val="0"/>
      <w:autoSpaceDN w:val="0"/>
      <w:adjustRightInd w:val="0"/>
      <w:spacing w:line="360" w:lineRule="auto"/>
      <w:jc w:val="both"/>
    </w:pPr>
    <w:rPr>
      <w:rFonts w:ascii="宋体" w:hAnsi="宋体" w:eastAsia="宋体" w:cs="宋体"/>
      <w:sz w:val="24"/>
      <w:szCs w:val="24"/>
      <w:lang w:val="en-US" w:eastAsia="zh-CN" w:bidi="ar-SA"/>
    </w:rPr>
  </w:style>
  <w:style w:type="paragraph" w:customStyle="1" w:styleId="49">
    <w:name w:val="Char Char Char Char Char"/>
    <w:basedOn w:val="1"/>
    <w:autoRedefine/>
    <w:qFormat/>
    <w:uiPriority w:val="0"/>
    <w:rPr>
      <w:rFonts w:ascii="Tahoma" w:hAnsi="Tahoma"/>
      <w:sz w:val="24"/>
      <w:szCs w:val="20"/>
    </w:rPr>
  </w:style>
  <w:style w:type="paragraph" w:customStyle="1" w:styleId="50">
    <w:name w:val="(符号)五标题1.1.1"/>
    <w:basedOn w:val="1"/>
    <w:autoRedefine/>
    <w:qFormat/>
    <w:uiPriority w:val="0"/>
    <w:pPr>
      <w:tabs>
        <w:tab w:val="left" w:pos="1000"/>
      </w:tabs>
      <w:spacing w:line="500" w:lineRule="exact"/>
      <w:ind w:left="1000" w:hanging="1000"/>
    </w:pPr>
    <w:rPr>
      <w:rFonts w:ascii="宋体" w:hAnsi="宋体" w:cs="宋体"/>
      <w:color w:val="000000"/>
      <w:sz w:val="24"/>
      <w:szCs w:val="20"/>
    </w:rPr>
  </w:style>
  <w:style w:type="paragraph" w:styleId="51">
    <w:name w:val="List Paragraph"/>
    <w:basedOn w:val="1"/>
    <w:autoRedefine/>
    <w:qFormat/>
    <w:uiPriority w:val="0"/>
    <w:pPr>
      <w:ind w:firstLine="420" w:firstLineChars="200"/>
    </w:pPr>
    <w:rPr>
      <w:rFonts w:ascii="Calibri" w:hAnsi="Calibri"/>
      <w:szCs w:val="22"/>
    </w:rPr>
  </w:style>
  <w:style w:type="paragraph" w:customStyle="1" w:styleId="52">
    <w:name w:val="列表段落1"/>
    <w:basedOn w:val="1"/>
    <w:autoRedefine/>
    <w:qFormat/>
    <w:uiPriority w:val="0"/>
    <w:pPr>
      <w:ind w:firstLine="420" w:firstLineChars="200"/>
    </w:pPr>
    <w:rPr>
      <w:rFonts w:ascii="Calibri" w:hAnsi="Calibri"/>
      <w:szCs w:val="22"/>
    </w:rPr>
  </w:style>
  <w:style w:type="character" w:customStyle="1" w:styleId="53">
    <w:name w:val="Char Char3"/>
    <w:autoRedefine/>
    <w:qFormat/>
    <w:uiPriority w:val="0"/>
    <w:rPr>
      <w:rFonts w:ascii="Calibri" w:hAnsi="Calibri" w:eastAsia="宋体"/>
      <w:sz w:val="32"/>
      <w:lang w:val="en-US" w:eastAsia="zh-CN"/>
    </w:rPr>
  </w:style>
  <w:style w:type="character" w:customStyle="1" w:styleId="54">
    <w:name w:val="Char Char5"/>
    <w:autoRedefine/>
    <w:qFormat/>
    <w:uiPriority w:val="0"/>
    <w:rPr>
      <w:rFonts w:ascii="Calibri" w:hAnsi="Calibri" w:eastAsia="宋体"/>
      <w:b/>
      <w:sz w:val="24"/>
      <w:lang w:val="en-US" w:eastAsia="zh-CN"/>
    </w:rPr>
  </w:style>
  <w:style w:type="character" w:customStyle="1" w:styleId="55">
    <w:name w:val="Char Char"/>
    <w:autoRedefine/>
    <w:qFormat/>
    <w:uiPriority w:val="0"/>
    <w:rPr>
      <w:rFonts w:eastAsia="宋体"/>
      <w:sz w:val="18"/>
      <w:lang w:val="en-US" w:eastAsia="zh-CN"/>
    </w:rPr>
  </w:style>
  <w:style w:type="character" w:customStyle="1" w:styleId="56">
    <w:name w:val="纯文本 Char"/>
    <w:link w:val="15"/>
    <w:autoRedefine/>
    <w:qFormat/>
    <w:uiPriority w:val="0"/>
    <w:rPr>
      <w:rFonts w:ascii="宋体" w:hAnsi="Courier New"/>
      <w:kern w:val="2"/>
      <w:sz w:val="21"/>
    </w:rPr>
  </w:style>
  <w:style w:type="character" w:customStyle="1" w:styleId="57">
    <w:name w:val="批注框文本 Char"/>
    <w:link w:val="17"/>
    <w:autoRedefine/>
    <w:qFormat/>
    <w:uiPriority w:val="0"/>
    <w:rPr>
      <w:kern w:val="2"/>
      <w:sz w:val="18"/>
      <w:szCs w:val="18"/>
    </w:rPr>
  </w:style>
  <w:style w:type="character" w:customStyle="1" w:styleId="58">
    <w:name w:val="批注文字 Char"/>
    <w:link w:val="11"/>
    <w:autoRedefine/>
    <w:qFormat/>
    <w:uiPriority w:val="0"/>
    <w:rPr>
      <w:kern w:val="2"/>
      <w:sz w:val="21"/>
      <w:szCs w:val="24"/>
    </w:rPr>
  </w:style>
  <w:style w:type="character" w:customStyle="1" w:styleId="59">
    <w:name w:val="Char Char6"/>
    <w:autoRedefine/>
    <w:qFormat/>
    <w:uiPriority w:val="0"/>
    <w:rPr>
      <w:rFonts w:ascii="Arial" w:hAnsi="Arial" w:eastAsia="黑体"/>
      <w:b/>
      <w:sz w:val="32"/>
      <w:lang w:val="en-US" w:eastAsia="zh-CN"/>
    </w:rPr>
  </w:style>
  <w:style w:type="character" w:customStyle="1" w:styleId="60">
    <w:name w:val="Char Char1"/>
    <w:autoRedefine/>
    <w:qFormat/>
    <w:uiPriority w:val="0"/>
    <w:rPr>
      <w:rFonts w:eastAsia="宋体"/>
      <w:sz w:val="18"/>
      <w:lang w:val="en-US" w:eastAsia="zh-CN"/>
    </w:rPr>
  </w:style>
  <w:style w:type="character" w:customStyle="1" w:styleId="61">
    <w:name w:val="批注主题 Char"/>
    <w:link w:val="27"/>
    <w:autoRedefine/>
    <w:qFormat/>
    <w:uiPriority w:val="0"/>
    <w:rPr>
      <w:b/>
      <w:bCs/>
      <w:kern w:val="2"/>
      <w:sz w:val="21"/>
      <w:szCs w:val="24"/>
    </w:rPr>
  </w:style>
  <w:style w:type="character" w:customStyle="1" w:styleId="62">
    <w:name w:val="页眉 Char"/>
    <w:link w:val="19"/>
    <w:autoRedefine/>
    <w:qFormat/>
    <w:uiPriority w:val="0"/>
    <w:rPr>
      <w:kern w:val="2"/>
      <w:sz w:val="18"/>
      <w:szCs w:val="18"/>
    </w:rPr>
  </w:style>
  <w:style w:type="character" w:customStyle="1" w:styleId="63">
    <w:name w:val="font11"/>
    <w:autoRedefine/>
    <w:qFormat/>
    <w:uiPriority w:val="0"/>
    <w:rPr>
      <w:rFonts w:hint="eastAsia" w:ascii="仿宋_GB2312" w:eastAsia="仿宋_GB2312" w:cs="仿宋_GB2312"/>
      <w:color w:val="000000"/>
      <w:sz w:val="24"/>
      <w:szCs w:val="24"/>
      <w:u w:val="none"/>
    </w:rPr>
  </w:style>
  <w:style w:type="character" w:customStyle="1" w:styleId="64">
    <w:name w:val="标题 3 Char"/>
    <w:link w:val="5"/>
    <w:autoRedefine/>
    <w:qFormat/>
    <w:uiPriority w:val="0"/>
    <w:rPr>
      <w:b/>
      <w:bCs/>
      <w:kern w:val="2"/>
      <w:sz w:val="32"/>
      <w:szCs w:val="32"/>
    </w:rPr>
  </w:style>
  <w:style w:type="character" w:customStyle="1" w:styleId="65">
    <w:name w:val="正文缩进 Char"/>
    <w:link w:val="9"/>
    <w:autoRedefine/>
    <w:qFormat/>
    <w:uiPriority w:val="0"/>
    <w:rPr>
      <w:sz w:val="32"/>
      <w:lang w:bidi="ar-SA"/>
    </w:rPr>
  </w:style>
  <w:style w:type="character" w:customStyle="1" w:styleId="66">
    <w:name w:val="页脚 Char"/>
    <w:link w:val="18"/>
    <w:autoRedefine/>
    <w:qFormat/>
    <w:uiPriority w:val="0"/>
    <w:rPr>
      <w:kern w:val="2"/>
      <w:sz w:val="18"/>
      <w:szCs w:val="18"/>
    </w:rPr>
  </w:style>
  <w:style w:type="character" w:customStyle="1" w:styleId="67">
    <w:name w:val="Char Char2"/>
    <w:autoRedefine/>
    <w:qFormat/>
    <w:uiPriority w:val="0"/>
    <w:rPr>
      <w:rFonts w:eastAsia="宋体"/>
      <w:kern w:val="2"/>
      <w:sz w:val="18"/>
      <w:lang w:val="en-US" w:eastAsia="zh-CN"/>
    </w:rPr>
  </w:style>
  <w:style w:type="character" w:customStyle="1" w:styleId="68">
    <w:name w:val="标题 4 Char"/>
    <w:link w:val="6"/>
    <w:autoRedefine/>
    <w:qFormat/>
    <w:uiPriority w:val="0"/>
    <w:rPr>
      <w:rFonts w:ascii="Cambria" w:hAnsi="Cambria" w:eastAsia="宋体" w:cs="Times New Roman"/>
      <w:b/>
      <w:bCs/>
      <w:kern w:val="2"/>
      <w:sz w:val="28"/>
      <w:szCs w:val="28"/>
    </w:rPr>
  </w:style>
  <w:style w:type="character" w:customStyle="1" w:styleId="69">
    <w:name w:val="（符号）邀请函中一、"/>
    <w:autoRedefine/>
    <w:qFormat/>
    <w:uiPriority w:val="0"/>
    <w:rPr>
      <w:rFonts w:ascii="黑体" w:hAnsi="黑体" w:eastAsia="黑体"/>
      <w:b/>
      <w:bCs/>
      <w:sz w:val="24"/>
    </w:rPr>
  </w:style>
  <w:style w:type="character" w:customStyle="1" w:styleId="70">
    <w:name w:val="font21"/>
    <w:autoRedefine/>
    <w:qFormat/>
    <w:uiPriority w:val="0"/>
    <w:rPr>
      <w:rFonts w:hint="default" w:ascii="Times New Roman" w:hAnsi="Times New Roman" w:cs="Times New Roman"/>
      <w:color w:val="000000"/>
      <w:sz w:val="24"/>
      <w:szCs w:val="24"/>
      <w:u w:val="none"/>
    </w:rPr>
  </w:style>
  <w:style w:type="character" w:customStyle="1" w:styleId="71">
    <w:name w:val="font01"/>
    <w:autoRedefine/>
    <w:qFormat/>
    <w:uiPriority w:val="0"/>
    <w:rPr>
      <w:rFonts w:hint="eastAsia" w:ascii="宋体" w:hAnsi="宋体" w:eastAsia="宋体" w:cs="宋体"/>
      <w:color w:val="000000"/>
      <w:sz w:val="12"/>
      <w:szCs w:val="12"/>
      <w:u w:val="none"/>
    </w:rPr>
  </w:style>
  <w:style w:type="character" w:customStyle="1" w:styleId="72">
    <w:name w:val="文档结构图 Char"/>
    <w:link w:val="10"/>
    <w:autoRedefine/>
    <w:qFormat/>
    <w:uiPriority w:val="0"/>
    <w:rPr>
      <w:rFonts w:ascii="宋体"/>
      <w:kern w:val="2"/>
      <w:sz w:val="18"/>
      <w:szCs w:val="18"/>
    </w:rPr>
  </w:style>
  <w:style w:type="character" w:customStyle="1" w:styleId="73">
    <w:name w:val="标题 1 Char"/>
    <w:link w:val="3"/>
    <w:autoRedefine/>
    <w:qFormat/>
    <w:uiPriority w:val="0"/>
    <w:rPr>
      <w:rFonts w:ascii="黑体" w:hAnsi="黑体" w:eastAsia="黑体"/>
      <w:b/>
      <w:bCs/>
      <w:kern w:val="44"/>
      <w:sz w:val="36"/>
      <w:szCs w:val="44"/>
    </w:rPr>
  </w:style>
  <w:style w:type="character" w:customStyle="1" w:styleId="74">
    <w:name w:val="正文文本缩进 Char"/>
    <w:link w:val="2"/>
    <w:autoRedefine/>
    <w:qFormat/>
    <w:uiPriority w:val="0"/>
    <w:rPr>
      <w:kern w:val="2"/>
      <w:sz w:val="21"/>
      <w:szCs w:val="24"/>
    </w:rPr>
  </w:style>
  <w:style w:type="character" w:customStyle="1" w:styleId="75">
    <w:name w:val="标题 2 Char"/>
    <w:link w:val="4"/>
    <w:autoRedefine/>
    <w:qFormat/>
    <w:uiPriority w:val="0"/>
    <w:rPr>
      <w:rFonts w:ascii="Arial" w:hAnsi="Arial" w:eastAsia="黑体"/>
      <w:b/>
      <w:bCs/>
      <w:sz w:val="32"/>
      <w:szCs w:val="32"/>
    </w:rPr>
  </w:style>
  <w:style w:type="character" w:customStyle="1" w:styleId="76">
    <w:name w:val="Char Char7"/>
    <w:autoRedefine/>
    <w:qFormat/>
    <w:uiPriority w:val="0"/>
    <w:rPr>
      <w:rFonts w:ascii="Calibri" w:hAnsi="Calibri" w:eastAsia="宋体"/>
      <w:b/>
      <w:kern w:val="44"/>
      <w:sz w:val="44"/>
      <w:lang w:val="en-US" w:eastAsia="zh-CN"/>
    </w:rPr>
  </w:style>
  <w:style w:type="paragraph" w:customStyle="1" w:styleId="77">
    <w:name w:val="Default"/>
    <w:autoRedefine/>
    <w:qFormat/>
    <w:uiPriority w:val="0"/>
    <w:pPr>
      <w:widowControl w:val="0"/>
      <w:jc w:val="both"/>
    </w:pPr>
    <w:rPr>
      <w:rFonts w:ascii="宋体" w:hAnsi="宋体" w:eastAsia="宋体" w:cs="Times New Roman"/>
      <w:color w:val="000000"/>
      <w:sz w:val="24"/>
      <w:szCs w:val="24"/>
      <w:lang w:val="en-US" w:eastAsia="zh-CN" w:bidi="ar-SA"/>
    </w:rPr>
  </w:style>
  <w:style w:type="character" w:customStyle="1" w:styleId="78">
    <w:name w:val="NormalCharacter"/>
    <w:autoRedefine/>
    <w:qFormat/>
    <w:uiPriority w:val="0"/>
    <w:rPr>
      <w:rFonts w:ascii="Times New Roman" w:hAnsi="Times New Roman" w:eastAsia="宋体" w:cs="Times New Roman"/>
      <w:kern w:val="2"/>
      <w:sz w:val="21"/>
      <w:szCs w:val="24"/>
      <w:lang w:val="en-US" w:eastAsia="zh-CN" w:bidi="ar-SA"/>
    </w:rPr>
  </w:style>
  <w:style w:type="paragraph" w:customStyle="1" w:styleId="79">
    <w:name w:val="ql-align-justify"/>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character" w:customStyle="1" w:styleId="80">
    <w:name w:val="ql-font-timesnewroman"/>
    <w:basedOn w:val="30"/>
    <w:autoRedefine/>
    <w:qFormat/>
    <w:uiPriority w:val="0"/>
  </w:style>
  <w:style w:type="paragraph" w:customStyle="1" w:styleId="81">
    <w:name w:val="ql-align-right"/>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82">
    <w:name w:val="table-cell-line"/>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customStyle="1" w:styleId="83">
    <w:name w:val="正文2"/>
    <w:basedOn w:val="1"/>
    <w:next w:val="1"/>
    <w:autoRedefine/>
    <w:qFormat/>
    <w:uiPriority w:val="99"/>
    <w:rPr>
      <w:rFonts w:ascii="仿宋_GB2312" w:eastAsia="仿宋_GB2312" w:cs="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7356</Words>
  <Characters>7723</Characters>
  <Lines>70</Lines>
  <Paragraphs>19</Paragraphs>
  <TotalTime>1</TotalTime>
  <ScaleCrop>false</ScaleCrop>
  <LinksUpToDate>false</LinksUpToDate>
  <CharactersWithSpaces>8018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2022-05-23T01:47:00Z</dcterms:created>
  <dc:creator>G</dc:creator>
  <cp:lastModifiedBy>泡面</cp:lastModifiedBy>
  <dcterms:modified xsi:type="dcterms:W3CDTF">2024-12-05T03:41:00Z</dcterms:modified>
  <dc:title>政 府 采 购</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B9360037683E42BEA14C85DE590BACE0_13</vt:lpwstr>
  </property>
</Properties>
</file>